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Framework</w:t>
      </w:r>
      <w:r>
        <w:t xml:space="preserve"> </w:t>
      </w:r>
      <w:r>
        <w:t xml:space="preserve">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Research Committee</w:t>
      </w:r>
      <w:r>
        <w:br/>
      </w:r>
      <w:r>
        <w:t xml:space="preserve">Judicial Systems Analyst Unit</w:t>
      </w:r>
      <w:r>
        <w:br/>
      </w:r>
      <w:r>
        <w:t xml:space="preserve">: Comparative Analysis of the Judge Role within United Kingdom Manchester Jurisdiction</w:t>
      </w:r>
    </w:p>
    <w:bookmarkStart w:id="27" w:name="Xa1cba71d971f70c95a2f4fe945bd61da0076c98"/>
    <w:p>
      <w:pPr>
        <w:pStyle w:val="Heading1"/>
      </w:pPr>
      <w:r>
        <w:t xml:space="preserve">Laboratory Report: Structural and Functional Evaluation of the Judiciary</w:t>
      </w:r>
    </w:p>
    <w:p>
      <w:pPr>
        <w:pStyle w:val="FirstParagraph"/>
      </w:pPr>
      <w:r>
        <w:rPr>
          <w:iCs/>
          <w:i/>
        </w:rPr>
        <w:t xml:space="preserve">Note: In the context of legal studies, a "Lab Report" is metaphorical. It refers to a systematic, structured analysis and documentation of judicial mechanisms, similar to how scientific experiments are documented in physical laboratories. This document serves as an empirical examination of how a</w:t>
      </w:r>
      <w:r>
        <w:rPr>
          <w:iCs/>
          <w:i/>
        </w:rPr>
        <w:t xml:space="preserve"> </w:t>
      </w:r>
      <w:r>
        <w:rPr>
          <w:bCs/>
          <w:b/>
          <w:iCs/>
          <w:i/>
        </w:rPr>
        <w:t xml:space="preserve">Judge</w:t>
      </w:r>
      <w:r>
        <w:rPr>
          <w:iCs/>
          <w:i/>
        </w:rPr>
        <w:t xml:space="preserve"> </w:t>
      </w:r>
      <w:r>
        <w:rPr>
          <w:iCs/>
          <w:i/>
        </w:rPr>
        <w:t xml:space="preserve">operates within the specific geographical and legal confines of</w:t>
      </w:r>
      <w:r>
        <w:rPr>
          <w:iCs/>
          <w:i/>
        </w:rPr>
        <w:t xml:space="preserve"> </w:t>
      </w:r>
      <w:r>
        <w:rPr>
          <w:bCs/>
          <w:b/>
          <w:iCs/>
          <w:i/>
        </w:rPr>
        <w:t xml:space="preserve">United Kingdom Manchester</w:t>
      </w:r>
      <w:r>
        <w:rPr>
          <w:iCs/>
          <w:i/>
        </w:rPr>
        <w:t xml:space="preserve">.</w:t>
      </w:r>
    </w:p>
    <w:bookmarkStart w:id="20" w:name="abstract"/>
    <w:p>
      <w:pPr>
        <w:pStyle w:val="Heading2"/>
      </w:pPr>
      <w:r>
        <w:t xml:space="preserve">1. Abstract</w:t>
      </w:r>
    </w:p>
    <w:p>
      <w:pPr>
        <w:pStyle w:val="FirstParagraph"/>
      </w:pPr>
      <w:r>
        <w:t xml:space="preserve">This report aims to dissect the operational mechanics, procedural adherence, and societal impact of a presiding Judge in the courts located in Manchester, United Kingdom. As a major metropolitan hub within the legal system of England and Wales, Manchester serves as a critical node for civil and criminal justice administration. The objective is to understand how judicial independence is maintained while ensuring public accountability. Through an analysis of statutory frameworks observed from Crown Court proceedings to the County Court levels specific to this region, this document outlines the pivotal role a Judge plays in upholding the rule of law.</w:t>
      </w:r>
    </w:p>
    <w:bookmarkEnd w:id="20"/>
    <w:bookmarkStart w:id="21" w:name="introduction-and-background"/>
    <w:p>
      <w:pPr>
        <w:pStyle w:val="Heading2"/>
      </w:pPr>
      <w:r>
        <w:t xml:space="preserve">2. Introduction and Background</w:t>
      </w:r>
    </w:p>
    <w:p>
      <w:pPr>
        <w:pStyle w:val="FirstParagraph"/>
      </w:pPr>
      <w:r>
        <w:t xml:space="preserve">The judicial system in England and Wales is distinct, relying heavily on common law precedents rather than purely statutory codes. Manchester, situated in Greater Manchester within the North West of England, hosts several significant court facilities, including the Minshull Street Crown Court and various County Courts. These institutions form the physical and procedural backbone of justice delivery in this region.</w:t>
      </w:r>
    </w:p>
    <w:p>
      <w:pPr>
        <w:pStyle w:val="BodyText"/>
      </w:pPr>
      <w:r>
        <w:t xml:space="preserve">The central subject of this analysis is the</w:t>
      </w:r>
      <w:r>
        <w:t xml:space="preserve"> </w:t>
      </w:r>
      <w:r>
        <w:rPr>
          <w:bCs/>
          <w:b/>
        </w:rPr>
        <w:t xml:space="preserve">Judge</w:t>
      </w:r>
      <w:r>
        <w:t xml:space="preserve">. A Judge in this jurisdiction is not merely an arbiter but a guardian of constitutional conventions. They are responsible for interpreting legislation, managing trial conduct, sentencing offenders, and ensuring that the rights of all parties are protected under the Human Rights Act 1998. The specific context of</w:t>
      </w:r>
      <w:r>
        <w:t xml:space="preserve"> </w:t>
      </w:r>
      <w:r>
        <w:rPr>
          <w:bCs/>
          <w:b/>
        </w:rPr>
        <w:t xml:space="preserve">United Kingdom Manchester</w:t>
      </w:r>
      <w:r>
        <w:t xml:space="preserve"> </w:t>
      </w:r>
      <w:r>
        <w:t xml:space="preserve">introduces unique variables regarding demographic diversity and case volume, requiring Judges to adapt their management styles while maintaining strict legal rigour.</w:t>
      </w:r>
    </w:p>
    <w:bookmarkEnd w:id="21"/>
    <w:bookmarkStart w:id="22" w:name="methodology-of-analysis"/>
    <w:p>
      <w:pPr>
        <w:pStyle w:val="Heading2"/>
      </w:pPr>
      <w:r>
        <w:t xml:space="preserve">3. Methodology of Analysis</w:t>
      </w:r>
    </w:p>
    <w:p>
      <w:pPr>
        <w:pStyle w:val="FirstParagraph"/>
      </w:pPr>
      <w:r>
        <w:t xml:space="preserve">To conduct this comprehensive evaluation, the following parameters were assessed:</w:t>
      </w:r>
    </w:p>
    <w:p>
      <w:pPr>
        <w:numPr>
          <w:ilvl w:val="0"/>
          <w:numId w:val="1001"/>
        </w:numPr>
        <w:pStyle w:val="Compact"/>
      </w:pPr>
      <w:r>
        <w:rPr>
          <w:bCs/>
          <w:b/>
        </w:rPr>
        <w:t xml:space="preserve">Judicial Appointment and Independence:</w:t>
      </w:r>
      <w:r>
        <w:t xml:space="preserve"> </w:t>
      </w:r>
      <w:r>
        <w:t xml:space="preserve">Examining how Judges are selected through the Judicial Appointments Commission to ensure meritocracy and insulation from political pressure.</w:t>
      </w:r>
    </w:p>
    <w:p>
      <w:pPr>
        <w:numPr>
          <w:ilvl w:val="0"/>
          <w:numId w:val="1001"/>
        </w:numPr>
        <w:pStyle w:val="Compact"/>
      </w:pPr>
      <w:r>
        <w:rPr>
          <w:bCs/>
          <w:b/>
        </w:rPr>
        <w:t xml:space="preserve">Courtroom Procedures in Manchester Courts:</w:t>
      </w:r>
      <w:r>
        <w:t xml:space="preserve"> </w:t>
      </w:r>
      <w:r>
        <w:t xml:space="preserve">Observing the standard operating procedures within Crown Court and County Court settings in Manchester.</w:t>
      </w:r>
    </w:p>
    <w:p>
      <w:pPr>
        <w:numPr>
          <w:ilvl w:val="0"/>
          <w:numId w:val="1001"/>
        </w:numPr>
        <w:pStyle w:val="Compact"/>
      </w:pPr>
      <w:r>
        <w:rPr>
          <w:bCs/>
          <w:b/>
        </w:rPr>
        <w:t xml:space="preserve">Case Management Powers:</w:t>
      </w:r>
      <w:r>
        <w:t xml:space="preserve"> </w:t>
      </w:r>
      <w:r>
        <w:t xml:space="preserve">Analyzing how a Judge utilizes Case Management Directions to streamline trials and reduce backlog.</w:t>
      </w:r>
    </w:p>
    <w:p>
      <w:pPr>
        <w:numPr>
          <w:ilvl w:val="0"/>
          <w:numId w:val="1001"/>
        </w:numPr>
        <w:pStyle w:val="Compact"/>
      </w:pPr>
      <w:r>
        <w:t xml:space="preserve">Sentencing Guidelines: Assessing adherence to guidelines issued by the Sentencing Council, particularly relevant for Manchester-based cases involving urban-specific crime metrics.</w:t>
      </w:r>
    </w:p>
    <w:bookmarkEnd w:id="22"/>
    <w:bookmarkStart w:id="23" w:name="observations-the-role-of-the-judge"/>
    <w:p>
      <w:pPr>
        <w:pStyle w:val="Heading2"/>
      </w:pPr>
      <w:r>
        <w:t xml:space="preserve">4. Observations: The Role of the Judge</w:t>
      </w:r>
    </w:p>
    <w:p>
      <w:pPr>
        <w:pStyle w:val="FirstParagraph"/>
      </w:pPr>
      <w:r>
        <w:t xml:space="preserve">The primary function of a</w:t>
      </w:r>
      <w:r>
        <w:t xml:space="preserve"> </w:t>
      </w:r>
      <w:r>
        <w:rPr>
          <w:bCs/>
          <w:b/>
        </w:rPr>
        <w:t xml:space="preserve">Judge</w:t>
      </w:r>
      <w:r>
        <w:t xml:space="preserve"> </w:t>
      </w:r>
      <w:r>
        <w:t xml:space="preserve">in this laboratory setting is to ensure a fair trial. In the bustling environment of Manchester, where court dockets are often heavy, the Judge acts as an active case manager. Unlike some jurisdictions where judges are passive observers until sentencing, UK Judges actively intervene to keep proceedings concise and relevant.</w:t>
      </w:r>
    </w:p>
    <w:p>
      <w:pPr>
        <w:pStyle w:val="BodyText"/>
      </w:pPr>
      <w:r>
        <w:t xml:space="preserve">In Crown Court trials located in Manchester, the</w:t>
      </w:r>
      <w:r>
        <w:t xml:space="preserve"> </w:t>
      </w:r>
      <w:r>
        <w:rPr>
          <w:bCs/>
          <w:b/>
        </w:rPr>
        <w:t xml:space="preserve">Judge</w:t>
      </w:r>
      <w:r>
        <w:t xml:space="preserve"> </w:t>
      </w:r>
      <w:r>
        <w:t xml:space="preserve">sits alone (without a jury) for matters of law but directs the jury on points of law during factual deliberations. The Judge’s attire—wig and gown—is a symbolic representation of impartiality and tradition, connecting modern proceedings with centuries of legal history. This visual cue reinforces the solemnity required in</w:t>
      </w:r>
      <w:r>
        <w:t xml:space="preserve"> </w:t>
      </w:r>
      <w:r>
        <w:rPr>
          <w:bCs/>
          <w:b/>
        </w:rPr>
        <w:t xml:space="preserve">United Kingdom Manchester</w:t>
      </w:r>
      <w:r>
        <w:t xml:space="preserve"> </w:t>
      </w:r>
      <w:r>
        <w:t xml:space="preserve">courtrooms.</w:t>
      </w:r>
    </w:p>
    <w:p>
      <w:pPr>
        <w:pStyle w:val="BodyText"/>
      </w:pPr>
      <w:r>
        <w:t xml:space="preserve">Furthermore, the Judge is responsible for ruling on admissibility of evidence. For instance, in cases involving complex digital forensics common in contemporary urban crime, the Manchester-based Judge must possess sufficient technical understanding or rely heavily on expert witnesses to make informed decisions regarding evidence that may prejudice a fair trial.</w:t>
      </w:r>
    </w:p>
    <w:bookmarkEnd w:id="23"/>
    <w:bookmarkStart w:id="24" w:name="X362cf76e46fa3385b3678fede40cd1a114862e8"/>
    <w:p>
      <w:pPr>
        <w:pStyle w:val="Heading2"/>
      </w:pPr>
      <w:r>
        <w:t xml:space="preserve">5. Discussion: Regional Specifics and Judicial Challenges</w:t>
      </w:r>
    </w:p>
    <w:p>
      <w:pPr>
        <w:pStyle w:val="FirstParagraph"/>
      </w:pPr>
      <w:r>
        <w:t xml:space="preserve">The specific geography of</w:t>
      </w:r>
      <w:r>
        <w:t xml:space="preserve"> </w:t>
      </w:r>
      <w:r>
        <w:rPr>
          <w:bCs/>
          <w:b/>
        </w:rPr>
        <w:t xml:space="preserve">United Kingdom Manchester</w:t>
      </w:r>
      <w:r>
        <w:t xml:space="preserve"> </w:t>
      </w:r>
      <w:r>
        <w:t xml:space="preserve">influences the workload and nature of cases handled by local Judges. Manchester is a commercial hub with high volumes of civil disputes, contract law issues, and intellectual property cases alongside serious criminal matters. The Judge must therefore be versatile.</w:t>
      </w:r>
    </w:p>
    <w:p>
      <w:pPr>
        <w:pStyle w:val="BodyText"/>
      </w:pPr>
      <w:r>
        <w:t xml:space="preserve">A significant challenge observed in this region is the pressure on judicial resources. The backlog of cases requires the</w:t>
      </w:r>
      <w:r>
        <w:t xml:space="preserve"> </w:t>
      </w:r>
      <w:r>
        <w:rPr>
          <w:bCs/>
          <w:b/>
        </w:rPr>
        <w:t xml:space="preserve">Judge</w:t>
      </w:r>
      <w:r>
        <w:t xml:space="preserve"> </w:t>
      </w:r>
      <w:r>
        <w:t xml:space="preserve">to exercise strict case management powers under the Civil Procedure Rules (CPR) or Criminal Procedure Rules (CrPR). This involves setting tight timelines for disclosure and witness statements. Failure to do so can result in delays that undermine public confidence in the justice system.</w:t>
      </w:r>
    </w:p>
    <w:p>
      <w:pPr>
        <w:pStyle w:val="BodyText"/>
      </w:pPr>
      <w:r>
        <w:t xml:space="preserve">M Additionally, diversity within the bench is a critical consideration. The judiciary of</w:t>
      </w:r>
      <w:r>
        <w:t xml:space="preserve"> </w:t>
      </w:r>
      <w:r>
        <w:rPr>
          <w:bCs/>
          <w:b/>
        </w:rPr>
        <w:t xml:space="preserve">United Kingdom Manchester</w:t>
      </w:r>
      <w:r>
        <w:t xml:space="preserve">, like the rest of England and Wales, strives for reflectiveness regarding gender, ethnicity, and background. This diversity strengthens public trust because it ensures that legal interpretations are not limited to a single demographic perspective.</w:t>
      </w:r>
    </w:p>
    <w:bookmarkEnd w:id="24"/>
    <w:bookmarkStart w:id="25" w:name="conclusion"/>
    <w:p>
      <w:pPr>
        <w:pStyle w:val="Heading2"/>
      </w:pPr>
      <w:r>
        <w:t xml:space="preserve">6. Conclusion</w:t>
      </w:r>
    </w:p>
    <w:p>
      <w:pPr>
        <w:pStyle w:val="FirstParagraph"/>
      </w:pPr>
      <w:r>
        <w:t xml:space="preserve">In conclusion, this report highlights that the</w:t>
      </w:r>
      <w:r>
        <w:t xml:space="preserve"> </w:t>
      </w:r>
      <w:r>
        <w:rPr>
          <w:bCs/>
          <w:b/>
        </w:rPr>
        <w:t xml:space="preserve">Judge</w:t>
      </w:r>
      <w:r>
        <w:t xml:space="preserve"> </w:t>
      </w:r>
      <w:r>
        <w:t xml:space="preserve">is the cornerstone of justice within</w:t>
      </w:r>
    </w:p>
    <w:p>
      <w:pPr>
        <w:pStyle w:val="BodyText"/>
      </w:pPr>
      <w:r>
        <w:t xml:space="preserve">United Kingdom Manchester. They serve as independent arbiters who balance statutory obligations with equitable discretion. The efficiency and integrity of courts in Manchester depend heavily on the competence and impartiality of these judicial officers.</w:t>
      </w:r>
    </w:p>
    <w:p>
      <w:pPr>
        <w:pStyle w:val="BodyText"/>
      </w:pPr>
      <w:r>
        <w:t xml:space="preserve">The "laboratory" environment of the courtroom requires precise execution by the Judge, ensuring that every procedural step—from opening statements to final sentencing—is conducted with fairness. As Manchester continues to grow as a major UK city, its judicial system must evolve while maintaining traditional standards. The</w:t>
      </w:r>
      <w:r>
        <w:t xml:space="preserve"> </w:t>
      </w:r>
      <w:r>
        <w:rPr>
          <w:bCs/>
          <w:b/>
        </w:rPr>
        <w:t xml:space="preserve">Judge</w:t>
      </w:r>
      <w:r>
        <w:t xml:space="preserve">, therefore, remains a constant figure of stability and authority in the legal landscape.</w:t>
      </w:r>
    </w:p>
    <w:bookmarkEnd w:id="25"/>
    <w:bookmarkStart w:id="26" w:name="references"/>
    <w:p>
      <w:pPr>
        <w:pStyle w:val="Heading2"/>
      </w:pPr>
      <w:r>
        <w:t xml:space="preserve">7. References</w:t>
      </w:r>
    </w:p>
    <w:p>
      <w:pPr>
        <w:pStyle w:val="FirstParagraph"/>
      </w:pPr>
      <w:r>
        <w:rPr>
          <w:iCs/>
          <w:i/>
        </w:rPr>
        <w:t xml:space="preserve">Note: For academic purposes, references would typically include statutes and case law.</w:t>
      </w:r>
    </w:p>
    <w:p>
      <w:pPr>
        <w:numPr>
          <w:ilvl w:val="0"/>
          <w:numId w:val="1002"/>
        </w:numPr>
        <w:pStyle w:val="Compact"/>
      </w:pPr>
      <w:r>
        <w:t xml:space="preserve">Courts Act 1971 (as amended).</w:t>
      </w:r>
    </w:p>
    <w:p>
      <w:pPr>
        <w:numPr>
          <w:ilvl w:val="0"/>
          <w:numId w:val="1002"/>
        </w:numPr>
        <w:pStyle w:val="Compact"/>
      </w:pPr>
      <w:r>
        <w:t xml:space="preserve">Judicature Acts of 1873 and 1875.</w:t>
      </w:r>
    </w:p>
    <w:p>
      <w:pPr>
        <w:numPr>
          <w:ilvl w:val="0"/>
          <w:numId w:val="1002"/>
        </w:numPr>
        <w:pStyle w:val="Compact"/>
      </w:pPr>
      <w:r>
        <w:t xml:space="preserve">Sentencing Council Guidelines for England and Wales.</w:t>
      </w:r>
    </w:p>
    <w:p>
      <w:pPr>
        <w:numPr>
          <w:ilvl w:val="0"/>
          <w:numId w:val="1002"/>
        </w:numPr>
        <w:pStyle w:val="Compact"/>
      </w:pPr>
      <w:r>
        <w:t xml:space="preserve">HM Courts &amp; Tribunals Service Data Reports on Manchester Court Volumes.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Framework Analysis</dc:title>
  <dc:creator/>
  <dc:language>en</dc:language>
  <cp:keywords/>
  <dcterms:created xsi:type="dcterms:W3CDTF">2026-07-29T14:31:52Z</dcterms:created>
  <dcterms:modified xsi:type="dcterms:W3CDTF">2026-07-29T14:31:52Z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