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Bangladesh,</w:t>
      </w:r>
      <w:r>
        <w:t xml:space="preserve"> </w:t>
      </w:r>
      <w:r>
        <w:t xml:space="preserve">Dhaka</w:t>
      </w:r>
    </w:p>
    <w:bookmarkStart w:id="20" w:name="Xc0974797e0ac869c9d541087f9b1e48774a5abb"/>
    <w:p>
      <w:pPr>
        <w:pStyle w:val="Heading1"/>
      </w:pPr>
      <w:r>
        <w:rPr>
          <w:bCs/>
          <w:b/>
        </w:rPr>
        <w:t xml:space="preserve">Technical Performance and Operational Compliance Lab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Evaluation of Laboratory Technician Protocols in Bangladesh, Dhaka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Date: October 26, 2023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Lab Report: Operational Standards in Bangladesh, Dhaka</dc:title>
  <dc:creator/>
  <dc:language>en</dc:language>
  <cp:keywords/>
  <dcterms:created xsi:type="dcterms:W3CDTF">2026-09-27T15:39:17Z</dcterms:created>
  <dcterms:modified xsi:type="dcterms:W3CDTF">2026-09-27T15:39:17Z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