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Technician</w:t>
      </w:r>
      <w:r>
        <w:t xml:space="preserve"> </w:t>
      </w: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Operational</w:t>
      </w:r>
      <w:r>
        <w:t xml:space="preserve"> </w:t>
      </w:r>
      <w:r>
        <w:t xml:space="preserve">Standards</w:t>
      </w:r>
      <w:r>
        <w:t xml:space="preserve"> </w:t>
      </w:r>
      <w:r>
        <w:t xml:space="preserve">in</w:t>
      </w:r>
      <w:r>
        <w:t xml:space="preserve"> </w:t>
      </w:r>
      <w:r>
        <w:t xml:space="preserve">Bangladesh,</w:t>
      </w:r>
      <w:r>
        <w:t xml:space="preserve"> </w:t>
      </w:r>
      <w:r>
        <w:t xml:space="preserve">Dhaka</w:t>
      </w:r>
    </w:p>
    <w:bookmarkStart w:id="20" w:name="Xc0974797e0ac869c9d541087f9b1e48774a5abb"/>
    <w:p>
      <w:pPr>
        <w:pStyle w:val="Heading1"/>
      </w:pPr>
      <w:r>
        <w:rPr>
          <w:bCs/>
          <w:b/>
        </w:rPr>
        <w:t xml:space="preserve">Technical Performance and Operational Compliance Lab Report</w:t>
      </w:r>
    </w:p>
    <w:p>
      <w:pPr>
        <w:pStyle w:val="FirstParagraph"/>
      </w:pPr>
      <w:r>
        <w:rPr>
          <w:bCs/>
          <w:b/>
        </w:rPr>
        <w:t xml:space="preserve">Subject:</w:t>
      </w:r>
      <w:r>
        <w:t xml:space="preserve"> </w:t>
      </w:r>
      <w:r>
        <w:t xml:space="preserve">Evaluation of Laboratory Technician Protocols in Bangladesh, Dhaka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Date: October 26, 2023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Technician Lab Report: Operational Standards in Bangladesh, Dhaka</dc:title>
  <dc:creator/>
  <dc:language>en</dc:language>
  <cp:keywords/>
  <dcterms:created xsi:type="dcterms:W3CDTF">2026-07-29T11:49:40Z</dcterms:created>
  <dcterms:modified xsi:type="dcterms:W3CDTF">2026-07-29T11:49:40Z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