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Frankfurt,</w:t>
      </w:r>
      <w:r>
        <w:t xml:space="preserve"> </w:t>
      </w:r>
      <w:r>
        <w:t xml:space="preserve">Germany</w:t>
      </w:r>
    </w:p>
    <w:bookmarkStart w:id="28"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24, 2023</w:t>
      </w:r>
      <w:r>
        <w:br/>
      </w:r>
      <w:r>
        <w:rPr>
          <w:bCs/>
          <w:b/>
        </w:rPr>
        <w:t xml:space="preserve">Location:</w:t>
      </w:r>
      <w:r>
        <w:t xml:space="preserve">Synlab Diagnostics Center, Frankfurt am Main, Germany</w:t>
      </w:r>
      <w:r>
        <w:br/>
      </w:r>
    </w:p>
    <w:p>
      <w:pPr>
        <w:pStyle w:val="BodyText"/>
      </w:pPr>
      <w:r>
        <w:t xml:space="preserve">Subject: Comprehensive Operational and Analytical Review by Laboratory Technician</w:t>
      </w:r>
    </w:p>
    <w:p>
      <w:pPr>
        <w:pStyle w:val="BodyText"/>
      </w:pPr>
      <w:r>
        <w:t xml:space="preserve">&gt;</w:t>
      </w:r>
    </w:p>
    <w:bookmarkStart w:id="20" w:name="introduction-and-scope-of-the-lab-report"/>
    <w:p>
      <w:pPr>
        <w:pStyle w:val="Heading2"/>
      </w:pPr>
      <w:r>
        <w:t xml:space="preserve">1. Introduction and Scope of the Lab Report</w:t>
      </w:r>
    </w:p>
    <w:p>
      <w:pPr>
        <w:pStyle w:val="FirstParagraph"/>
      </w:pPr>
      <w:r>
        <w:t xml:space="preserve">This document serves as an official **Lab Report** generated within the framework of high-standard clinical diagnostics in **Germany Frankfurt**. The primary objective of this report is to detail the operational procedures, analytical results, and quality control measures executed by the assigned **Laboratory Technician**. As a critical hub for biomedical research and healthcare in Europe, **Germany Frankfurt** hosts laboratories that must adhere to stringent regulatory standards set forth by local health authorities as well as European Union directives. Consequently, this report not only presents data but also highlights the rigorous adherence to protocol required of every **Laboratory Technician** operating within this jurisdiction.</w:t>
      </w:r>
    </w:p>
    <w:p>
      <w:pPr>
        <w:pStyle w:val="BodyText"/>
      </w:pPr>
      <w:r>
        <w:t xml:space="preserve">The scope of this analysis covers routine hematology screening, metabolic panel assessments, and microbial culture screenings conducted during the current operational shift. The role of the **Laboratory Technician** is pivotal in ensuring that patient samples are processed with precision, thereby influencing diagnostic outcomes directly. In **Germany Frankfurt**, where medical tourism and local healthcare demands are high, the efficiency and accuracy reported here reflect broader systemic competencies.</w:t>
      </w:r>
    </w:p>
    <w:bookmarkEnd w:id="20"/>
    <w:bookmarkStart w:id="21" w:name="methodology-and-equipment-calibration"/>
    <w:p>
      <w:pPr>
        <w:pStyle w:val="Heading2"/>
      </w:pPr>
      <w:r>
        <w:t xml:space="preserve">2. Methodology and Equipment Calibration</w:t>
      </w:r>
    </w:p>
    <w:p>
      <w:pPr>
        <w:pStyle w:val="FirstParagraph"/>
      </w:pPr>
      <w:r>
        <w:t xml:space="preserve">Upon commencing duties, the **Laboratory Technician** performed a comprehensive calibration check on all primary analytical instruments. In compliance with **Germany Frankfurt** laboratory safety standards, the following equipment was verified:</w:t>
      </w:r>
    </w:p>
    <w:p>
      <w:pPr>
        <w:numPr>
          <w:ilvl w:val="0"/>
          <w:numId w:val="1001"/>
        </w:numPr>
        <w:pStyle w:val="Compact"/>
      </w:pPr>
      <w:r>
        <w:rPr>
          <w:bCs/>
          <w:b/>
        </w:rPr>
        <w:t xml:space="preserve">Centrifuges:</w:t>
      </w:r>
      <w:r>
        <w:t xml:space="preserve"> </w:t>
      </w:r>
      <w:r>
        <w:t xml:space="preserve">Speed and balance checks were conducted to ensure sample integrity.</w:t>
      </w:r>
    </w:p>
    <w:p>
      <w:pPr>
        <w:numPr>
          <w:ilvl w:val="0"/>
          <w:numId w:val="1001"/>
        </w:numPr>
        <w:pStyle w:val="Compact"/>
      </w:pPr>
      <w:r>
        <w:rPr>
          <w:bCs/>
          <w:b/>
        </w:rPr>
        <w:t xml:space="preserve">Spectrophotometers:</w:t>
      </w:r>
      <w:r>
        <w:t xml:space="preserve"> </w:t>
      </w:r>
      <w:r>
        <w:t xml:space="preserve">Wavelength accuracy was validated using standard reference solutions.</w:t>
      </w:r>
    </w:p>
    <w:p>
      <w:pPr>
        <w:numPr>
          <w:ilvl w:val="0"/>
          <w:numId w:val="1001"/>
        </w:numPr>
        <w:pStyle w:val="Compact"/>
      </w:pPr>
      <w:r>
        <w:rPr>
          <w:bCs/>
          <w:b/>
        </w:rPr>
        <w:t xml:space="preserve">Pipettes:</w:t>
      </w:r>
      <w:r>
        <w:t xml:space="preserve"> </w:t>
      </w:r>
      <w:r>
        <w:t xml:space="preserve">Volume dispensing was tested for precision to prevent cross-contamination risks.</w:t>
      </w:r>
    </w:p>
    <w:p>
      <w:pPr>
        <w:pStyle w:val="FirstParagraph"/>
      </w:pPr>
      <w:r>
        <w:t xml:space="preserve">The **Laboratory Technician** utilized automated sample processing systems, yet manual verification steps were retained as a double-check mechanism. This hybrid approach is standard practice in modern facilities across **Germany Frankfurt**, balancing throughput efficiency with error reduction. The methodology strictly followed the ISO 15189 standards for medical laboratories, ensuring that every step from sample reception to result validation was documented meticulously within this Lab Report.</w:t>
      </w:r>
    </w:p>
    <w:bookmarkEnd w:id="21"/>
    <w:bookmarkStart w:id="24" w:name="X148846b1965c9a8869ceb1e983ea31db2b1750c"/>
    <w:p>
      <w:pPr>
        <w:pStyle w:val="Heading2"/>
      </w:pPr>
      <w:r>
        <w:t xml:space="preserve">3. Analytical Results and Data Interpretation</w:t>
      </w:r>
    </w:p>
    <w:p>
      <w:pPr>
        <w:pStyle w:val="FirstParagraph"/>
      </w:pPr>
      <w:r>
        <w:t xml:space="preserve">The following subsections detail the specific findings derived from the batch of samples analyzed today. Each data point has been reviewed by the **Laboratory Technician** to ensure logical consistency and biological plausibility before finalizing this Lab Report.</w:t>
      </w:r>
    </w:p>
    <w:bookmarkStart w:id="22" w:name="hematology-panel"/>
    <w:p>
      <w:pPr>
        <w:pStyle w:val="Heading3"/>
      </w:pPr>
      <w:r>
        <w:t xml:space="preserve">3.1 Hematology Panel</w:t>
      </w:r>
    </w:p>
    <w:p>
      <w:pPr>
        <w:pStyle w:val="FirstParagraph"/>
      </w:pPr>
      <w:r>
        <w:t xml:space="preserve">Samples were analyzed for Complete Blood Count (CBC) parameters. The **Laboratory Technician** observed the following trends:</w:t>
      </w:r>
    </w:p>
    <w:p>
      <w:pPr>
        <w:pStyle w:val="BodyText"/>
      </w:pPr>
      <w:r>
        <w:t xml:space="preserve">Metric</w:t>
      </w:r>
    </w:p>
    <w:p>
      <w:pPr>
        <w:pStyle w:val="BodyText"/>
      </w:pPr>
      <w:r>
        <w:t xml:space="preserve">Average Result</w:t>
      </w:r>
    </w:p>
    <w:p>
      <w:pPr>
        <w:pStyle w:val="BodyText"/>
      </w:pPr>
      <w:r>
        <w:t xml:space="preserve">Reference Range (Germany Standard)</w:t>
      </w:r>
    </w:p>
    <w:p>
      <w:pPr>
        <w:pStyle w:val="BodyText"/>
      </w:pPr>
      <w:r>
        <w:t xml:space="preserve">Hemoglobin (g/dL)</w:t>
      </w:r>
    </w:p>
    <w:p>
      <w:pPr>
        <w:pStyle w:val="BodyText"/>
      </w:pPr>
      <w:r>
        <w:t xml:space="preserve">14.2</w:t>
      </w:r>
    </w:p>
    <w:p>
      <w:pPr>
        <w:pStyle w:val="BodyText"/>
      </w:pPr>
      <w:r>
        <w:t xml:space="preserve">Males: 13.8-17.2 / Females: 12.1-15.3</w:t>
      </w:r>
    </w:p>
    <w:p>
      <w:pPr>
        <w:pStyle w:val="BodyText"/>
      </w:pPr>
      <w:r>
        <w:t xml:space="preserve">White Blood Cell Count (/µL)</w:t>
      </w:r>
    </w:p>
    <w:p>
      <w:pPr>
        <w:pStyle w:val="BodyText"/>
      </w:pPr>
      <w:r>
        <w:t xml:space="preserve">6,500</w:t>
      </w:r>
    </w:p>
    <w:p>
      <w:pPr>
        <w:pStyle w:val="BodyText"/>
      </w:pPr>
      <w:r>
        <w:t xml:space="preserve">4,500 - 11,008</w:t>
      </w:r>
    </w:p>
    <w:p>
      <w:pPr>
        <w:pStyle w:val="BodyText"/>
      </w:pPr>
      <w:r>
        <w:t xml:space="preserve">&gt;</w:t>
      </w:r>
    </w:p>
    <w:bookmarkEnd w:id="22"/>
    <w:bookmarkStart w:id="23" w:name="metabolic-panel-and-microbiology"/>
    <w:p>
      <w:pPr>
        <w:pStyle w:val="Heading3"/>
      </w:pPr>
      <w:r>
        <w:t xml:space="preserve">3.2 Metabolic Panel and Microbiology</w:t>
      </w:r>
    </w:p>
    <w:p>
      <w:pPr>
        <w:pStyle w:val="FirstParagraph"/>
      </w:pPr>
      <w:r>
        <w:t xml:space="preserve">In addition to hematology, the **Laboratory Technician** processed serum samples for metabolic profiling. Results indicated normal glucose levels and electrolyte balances across 95% of the cohort. However, three outliers were flagged for immediate re-testing to rule out pre-analytical errors such as hemolysis or lipemia. This diligence is characteristic of professional practice in **Germany Frankfurt**, where patient safety is paramount.</w:t>
      </w:r>
    </w:p>
    <w:p>
      <w:pPr>
        <w:pStyle w:val="BodyText"/>
      </w:pPr>
      <w:r>
        <w:t xml:space="preserve">Microbiology cultures were incubated for 48 hours. The **Laboratory Technician** identified two positive samples for *Staphylococcus aureus*. Susceptibility testing was initiated immediately, allowing clinicians to adjust antibiotic therapy promptly. This rapid turnaround time is a key performance indicator for laboratories operating in the dense medical network of **Germany Frankfurt**.</w:t>
      </w:r>
    </w:p>
    <w:bookmarkEnd w:id="23"/>
    <w:bookmarkEnd w:id="24"/>
    <w:bookmarkStart w:id="25" w:name="X1e9311bf62a98d878286e85ce65a3eb3de8329f"/>
    <w:p>
      <w:pPr>
        <w:pStyle w:val="Heading2"/>
      </w:pPr>
      <w:r>
        <w:t xml:space="preserve">4. Quality Assurance and Regulatory Compliance</w:t>
      </w:r>
    </w:p>
    <w:p>
      <w:pPr>
        <w:pStyle w:val="FirstParagraph"/>
      </w:pPr>
      <w:r>
        <w:t xml:space="preserve">A critical component of this Lab Report is the confirmation of quality assurance (QA) measures. The **Laboratory Technician** ensures that all internal controls fall within acceptable limits daily. In **Germany Frankfurt**, external quality assessment schemes (EQAS) are mandatory for accreditation maintenance.</w:t>
      </w:r>
    </w:p>
    <w:p>
      <w:pPr>
        <w:pStyle w:val="BodyText"/>
      </w:pPr>
      <w:r>
        <w:t xml:space="preserve">During this reporting period, the laboratory successfully participated in an inter-laboratory comparison study coordinated by the Robert Koch Institute. The **Laboratory Technician**’s results were within 2% variance of the target values, demonstrating high analytical competence. Furthermore, all waste disposal procedures adhered to German environmental protection laws (KrWG), ensuring that biohazardous materials generated during the lab processes were disposed of safely and legally.</w:t>
      </w:r>
    </w:p>
    <w:bookmarkEnd w:id="25"/>
    <w:bookmarkStart w:id="26" w:name="challenges-and-corrective-actions"/>
    <w:p>
      <w:pPr>
        <w:pStyle w:val="Heading2"/>
      </w:pPr>
      <w:r>
        <w:t xml:space="preserve">5. Challenges and Corrective Actions</w:t>
      </w:r>
    </w:p>
    <w:p>
      <w:pPr>
        <w:pStyle w:val="FirstParagraph"/>
      </w:pPr>
      <w:r>
        <w:t xml:space="preserve">No significant operational failures occurred during this shift. However, a minor delay in reagent delivery from the supplier was noted. The **Laboratory Technician** proactively managed inventory levels to prevent sample backlog, utilizing buffer stock as per emergency protocols. This proactive management is essential in **Germany Frankfurt**, where supply chain disruptions can quickly impact patient care timelines.</w:t>
      </w:r>
    </w:p>
    <w:bookmarkEnd w:id="26"/>
    <w:bookmarkStart w:id="27" w:name="conclusion"/>
    <w:p>
      <w:pPr>
        <w:pStyle w:val="Heading2"/>
      </w:pPr>
      <w:r>
        <w:t xml:space="preserve">6. Conclusion</w:t>
      </w:r>
    </w:p>
    <w:p>
      <w:pPr>
        <w:pStyle w:val="FirstParagraph"/>
      </w:pPr>
      <w:r>
        <w:t xml:space="preserve">This Lab Report confirms that the **Laboratory Technician** successfully completed all assigned analytical tasks with high accuracy and adherence to safety standards. The data presented reflects the robust capabilities of diagnostic facilities in **Germany Frankfurt**. The integration of advanced technology with skilled human oversight ensures that patient outcomes remain positive.</w:t>
      </w:r>
    </w:p>
    <w:p>
      <w:pPr>
        <w:pStyle w:val="BodyText"/>
      </w:pPr>
      <w:r>
        <w:t xml:space="preserve">The findings herein are intended for clinical correlation by authorized physicians. All procedures described were executed under the supervision and quality control systems mandated by regional health authorities in **Germany Frankfurt**. The role of the **Laboratory Technician** remains central to maintaining these high standards, serving as the backbone of reliable diagnostic medicine.</w:t>
      </w:r>
    </w:p>
    <w:p>
      <w:pPr>
        <w:pStyle w:val="BodyText"/>
      </w:pPr>
      <w:r>
        <w:rPr>
          <w:bCs/>
          <w:b/>
        </w:rPr>
        <w:t xml:space="preserve">Authorized Signature:</w:t>
      </w:r>
    </w:p>
    <w:p>
      <w:pPr>
        <w:pStyle w:val="BodyText"/>
      </w:pPr>
      <w:r>
        <w:t xml:space="preserve">Name: Dr. [Name Placeholder], Head of Laboratory</w:t>
      </w:r>
    </w:p>
    <w:p>
      <w:pPr>
        <w:pStyle w:val="BodyText"/>
      </w:pPr>
      <w:r>
        <w:t xml:space="preserve">Institution: Medical Center Frankfurt</w:t>
      </w:r>
    </w:p>
    <w:p>
      <w:pPr>
        <w:pStyle w:val="BodyText"/>
      </w:pPr>
      <w:r>
        <w:t xml:space="preserve">&gt;</w:t>
      </w:r>
      <w:r>
        <w:br/>
      </w:r>
      <w:r>
        <w:t xml:space="preserve">"This document certifies that the analysis was performed by a certified **Laboratory Technician** in accordance with regulations applicable in **Germany Frankfurt**."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Frankfurt, Germany</dc:title>
  <dc:creator/>
  <dc:language>en</dc:language>
  <cp:keywords/>
  <dcterms:created xsi:type="dcterms:W3CDTF">2026-07-29T05:52:09Z</dcterms:created>
  <dcterms:modified xsi:type="dcterms:W3CDTF">2026-07-29T05:52:09Z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