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Nigeria</w:t>
      </w:r>
      <w:r>
        <w:t xml:space="preserve"> </w:t>
      </w:r>
      <w:r>
        <w:t xml:space="preserve">Abuja</w:t>
      </w:r>
    </w:p>
    <w:bookmarkStart w:id="23" w:name="laboratory-technician-operational-report"/>
    <w:p>
      <w:pPr>
        <w:pStyle w:val="Heading1"/>
      </w:pPr>
      <w:r>
        <w:t xml:space="preserve">Laboratory Technician Operational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Reference Laboratory, Nigeria Abuja</w:t>
      </w:r>
      <w:r>
        <w:br/>
      </w:r>
      <w:r>
        <w:rPr>
          <w:bCs/>
          <w:b/>
        </w:rPr>
        <w:t xml:space="preserve">Patient/Subject ID:</w:t>
      </w:r>
      <w:r>
        <w:t xml:space="preserve"> </w:t>
      </w:r>
      <w:r>
        <w:t xml:space="preserve">NL-ABJ-9982-X</w:t>
      </w:r>
      <w:r>
        <w:br/>
      </w:r>
    </w:p>
    <w:bookmarkStart w:id="20" w:name="i.-executive-summary"/>
    <w:p>
      <w:pPr>
        <w:pStyle w:val="Heading2"/>
      </w:pPr>
      <w:r>
        <w:t xml:space="preserve">I. Executive Summary</w:t>
      </w:r>
    </w:p>
    <w:p>
      <w:pPr>
        <w:pStyle w:val="FirstParagraph"/>
      </w:pPr>
      <w:r>
        <w:t xml:space="preserve">This comprehensive Lab Report details the operational procedures, analytical findings, and quality assurance metrics conducted by the assigned Laboratory Technician in Nigeria Abuja. The primary objective of this document is to provide a transparent and rigorous account of diagnostic testing performed under the specific environmental and regulatory conditions prevalent in Nigeria Abuja. As a key component of the public health infrastructure, our laboratory services are critical for disease surveillance, clinical diagnosis, and epidemiological research within the Federal Capital Territory.</w:t>
      </w:r>
    </w:p>
    <w:p>
      <w:pPr>
        <w:pStyle w:val="BodyText"/>
      </w:pPr>
      <w:r>
        <w:t xml:space="preserve">The data presented herein adheres strictly to international standards adapted for local implementation in Nigeria Abuja. The role of the Laboratory Technician is paramount in ensuring that results are not only accurate but also timely, facilitating rapid clinical decision-making for patients presenting with infectious and non-communicable diseases across the region.</w:t>
      </w:r>
    </w:p>
    <w:bookmarkEnd w:id="20"/>
    <w:bookmarkStart w:id="21" w:name="ii.-methodology-and-instrumentation"/>
    <w:p>
      <w:pPr>
        <w:pStyle w:val="Heading2"/>
      </w:pPr>
      <w:r>
        <w:t xml:space="preserve">II. Methodology and Instrumentation</w:t>
      </w:r>
    </w:p>
    <w:p>
      <w:pPr>
        <w:pStyle w:val="FirstParagraph"/>
      </w:pPr>
      <w:r>
        <w:t xml:space="preserve">All procedures outlined in this Lab Report were executed under the supervision of a senior pathologist and performed by certified Laboratory Technician personnel stationed in Nigeria Abuja. The following methodologies were utilized:</w:t>
      </w:r>
    </w:p>
    <w:p>
      <w:pPr>
        <w:numPr>
          <w:ilvl w:val="0"/>
          <w:numId w:val="1001"/>
        </w:numPr>
        <w:pStyle w:val="Compact"/>
      </w:pPr>
      <w:r>
        <w:rPr>
          <w:bCs/>
          <w:b/>
        </w:rPr>
        <w:t xml:space="preserve">Spectrophotometry:</w:t>
      </w:r>
      <w:r>
        <w:t xml:space="preserve"> </w:t>
      </w:r>
      <w:r>
        <w:t xml:space="preserve">Utilized for quantifying protein concentrations and enzyme activities. Instruments were calibrated daily to account for voltage fluctuations common in the grid of Nigeria Abuja.</w:t>
      </w:r>
    </w:p>
    <w:p>
      <w:pPr>
        <w:numPr>
          <w:ilvl w:val="0"/>
          <w:numId w:val="1001"/>
        </w:numPr>
        <w:pStyle w:val="Compact"/>
      </w:pPr>
      <w:r>
        <w:rPr>
          <w:bCs/>
          <w:b/>
        </w:rPr>
        <w:t xml:space="preserve">Polymerase Chain Reaction (PCR):</w:t>
      </w:r>
      <w:r>
        <w:t xml:space="preserve"> </w:t>
      </w:r>
      <w:r>
        <w:t xml:space="preserve">Employed for molecular detection of viral loads, specifically targeting pathogens relevant to tropical medicine in Nigeria Abuja.</w:t>
      </w:r>
    </w:p>
    <w:p>
      <w:pPr>
        <w:numPr>
          <w:ilvl w:val="0"/>
          <w:numId w:val="1001"/>
        </w:numPr>
        <w:pStyle w:val="Compact"/>
      </w:pPr>
      <w:r>
        <w:rPr>
          <w:bCs/>
          <w:b/>
        </w:rPr>
        <w:t xml:space="preserve">Culture and Sensitivity Testing:</w:t>
      </w:r>
      <w:r>
        <w:t xml:space="preserve"> </w:t>
      </w:r>
      <w:r>
        <w:t xml:space="preserve">Standard agar plate techniques were used to identify bacterial isolates and determine antibiotic susceptibility profiles.</w:t>
      </w:r>
    </w:p>
    <w:p>
      <w:pPr>
        <w:pStyle w:val="FirstParagraph"/>
      </w:pPr>
      <w:r>
        <w:t xml:space="preserve">The Laboratory Technician ensured that all glassware was sterilized via autoclave at 121°C for 15 minutes, maintaining sterility protocols critical for reliable results. Reagents were sourced from approved suppliers and checked for expiration dates daily. Storage conditions were monitored continuously using digital thermometers, with backup generators ensuring uninterrupted cold chain maintenance in Nigeria Abuja during power outages.</w:t>
      </w:r>
    </w:p>
    <w:bookmarkEnd w:id="21"/>
    <w:bookmarkStart w:id="22" w:name="iii.-sample-analysis-results"/>
    <w:p>
      <w:pPr>
        <w:pStyle w:val="Heading2"/>
      </w:pPr>
      <w:r>
        <w:t xml:space="preserve">III. Sample Analysis Results</w:t>
      </w:r>
    </w:p>
    <w:p>
      <w:pPr>
        <w:pStyle w:val="FirstParagraph"/>
      </w:pPr>
      <w:r>
        <w:t xml:space="preserve">The following table summarizes the key analytical findings from the samples analyzed today. Each result has been cross-verified by a second Laboratory Technician to minimize human error within our operations in Nigeria Abuja.</w:t>
      </w:r>
    </w:p>
    <w:p>
      <w:pPr>
        <w:pStyle w:val="BodyText"/>
      </w:pPr>
      <w:r>
        <w:t xml:space="preserve">S.No</w:t>
      </w:r>
    </w:p>
    <w:bookmarkEnd w:id="22"/>
    <w:bookmarkEnd w:id="23"/>
    <w:p>
      <w:pPr>
        <w:pStyle w:val="BodyText"/>
      </w:pPr>
      <w:r>
        <w:t xml:space="preserve">Test Parameter</w:t>
      </w:r>
    </w:p>
    <w:p>
      <w:pPr>
        <w:pStyle w:val="BodyText"/>
      </w:pPr>
      <w:r>
        <w:t xml:space="preserve">Patient Sample ID</w:t>
      </w:r>
    </w:p>
    <w:p>
      <w:pPr>
        <w:pStyle w:val="BodyText"/>
      </w:pPr>
      <w:r>
        <w:t xml:space="preserve">1</w:t>
      </w:r>
    </w:p>
    <w:p>
      <w:pPr>
        <w:pStyle w:val="BodyText"/>
      </w:pPr>
      <w:r>
        <w:t xml:space="preserve">Hemoglobin (g/dL)20.4-16.7   |  13.5 g/dL   | </w:t>
      </w:r>
    </w:p>
    <w:p>
      <w:pPr>
        <w:pStyle w:val="BodyText"/>
      </w:pPr>
      <w:r>
        <w:rPr>
          <w:bCs/>
          <w:b/>
        </w:rPr>
        <w:t xml:space="preserve">Normal</w:t>
      </w:r>
    </w:p>
    <w:p>
      <w:pPr>
        <w:pStyle w:val="BodyText"/>
      </w:pPr>
      <w:r>
        <w:t xml:space="preserve">2</w:t>
      </w:r>
    </w:p>
    <w:p>
      <w:pPr>
        <w:pStyle w:val="BodyText"/>
      </w:pPr>
      <w:r>
        <w:t xml:space="preserve">Glucose (mmol/L)4.0-6.0   |  7.8 mmol/L   | </w:t>
      </w:r>
    </w:p>
    <w:p>
      <w:pPr>
        <w:pStyle w:val="BodyText"/>
      </w:pPr>
      <w:r>
        <w:rPr>
          <w:bCs/>
          <w:b/>
        </w:rPr>
        <w:t xml:space="preserve">High</w:t>
      </w:r>
    </w:p>
    <w:p>
      <w:pPr>
        <w:pStyle w:val="BodyText"/>
      </w:pPr>
      <w:r>
        <w:t xml:space="preserve">3</w:t>
      </w:r>
    </w:p>
    <w:p>
      <w:pPr>
        <w:pStyle w:val="BodyText"/>
      </w:pPr>
      <w:r>
        <w:t xml:space="preserve">WBC Count (10^9/L)4.5-11.0   |  8.2 x 10^9/L   | </w:t>
      </w:r>
    </w:p>
    <w:p>
      <w:pPr>
        <w:pStyle w:val="BodyText"/>
      </w:pPr>
      <w:r>
        <w:rPr>
          <w:bCs/>
          <w:b/>
        </w:rPr>
        <w:t xml:space="preserve">Normal</w:t>
      </w:r>
    </w:p>
    <w:p>
      <w:pPr>
        <w:pStyle w:val="BodyText"/>
      </w:pPr>
      <w:r>
        <w:t xml:space="preserve">4</w:t>
      </w:r>
    </w:p>
    <w:p>
      <w:pPr>
        <w:pStyle w:val="BodyText"/>
      </w:pPr>
      <w:r>
        <w:t xml:space="preserve">HIV StatusN/A   |  Non-Reactive   | </w:t>
      </w:r>
    </w:p>
    <w:p>
      <w:pPr>
        <w:pStyle w:val="BodyText"/>
      </w:pPr>
      <w:r>
        <w:rPr>
          <w:bCs/>
          <w:b/>
        </w:rPr>
        <w:t xml:space="preserve">Negative</w:t>
      </w:r>
    </w:p>
    <w:bookmarkStart w:id="24" w:name="Xf3a6b622b929a208768d6e2bc4fb1117475e971"/>
    <w:p>
      <w:pPr>
        <w:pStyle w:val="Heading2"/>
      </w:pPr>
      <w:r>
        <w:t xml:space="preserve">IV. Detailed Interpretation and Discussion</w:t>
      </w:r>
    </w:p>
    <w:p>
      <w:pPr>
        <w:pStyle w:val="FirstParagraph"/>
      </w:pPr>
      <w:r>
        <w:rPr>
          <w:bCs/>
          <w:b/>
        </w:rPr>
        <w:t xml:space="preserve">Hematological Profile:</w:t>
      </w:r>
      <w:r>
        <w:br/>
      </w:r>
      <w:r>
        <w:t xml:space="preserve">The hemoglobin levels for the subject fall within the standard reference range, indicating no evidence of anemia at this time. This is particularly relevant in Nigeria Abuja, where malaria remains a significant cause of morbidity; however, current blood parameters do not suggest an acute hemolytic event.</w:t>
      </w:r>
    </w:p>
    <w:p>
      <w:pPr>
        <w:pStyle w:val="BodyText"/>
      </w:pPr>
      <w:r>
        <w:rPr>
          <w:bCs/>
          <w:b/>
        </w:rPr>
        <w:t xml:space="preserve">Metabolic Analysis:</w:t>
      </w:r>
      <w:r>
        <w:br/>
      </w:r>
      <w:r>
        <w:t xml:space="preserve">The glucose level was recorded at 7.8 mmol/L, which is elevated above the fasting reference range. This finding necessitates further investigation to rule out Type 2 Diabetes Mellitus, a growing health concern in urban centers like Nigeria Abuja due to lifestyle changes and dietary shifts. The Laboratory Technician has recommended a follow-up HbA1c test to assess long-term glycemic control.</w:t>
      </w:r>
    </w:p>
    <w:p>
      <w:pPr>
        <w:pStyle w:val="BodyText"/>
      </w:pPr>
      <w:r>
        <w:rPr>
          <w:bCs/>
          <w:b/>
        </w:rPr>
        <w:t xml:space="preserve">Microbiological Screening:</w:t>
      </w:r>
      <w:r>
        <w:br/>
      </w:r>
      <w:r>
        <w:t xml:space="preserve">The non-reactive HIV result is consistent with routine screening protocols. It is crucial for the Laboratory Technician in Nigeria Abuja to maintain strict confidentiality and provide appropriate counseling referrals, as stigma remains a barrier to effective healthcare delivery in many communities.</w:t>
      </w:r>
    </w:p>
    <w:bookmarkEnd w:id="24"/>
    <w:bookmarkStart w:id="25" w:name="v.-quality-control-and-assurance"/>
    <w:p>
      <w:pPr>
        <w:pStyle w:val="Heading2"/>
      </w:pPr>
      <w:r>
        <w:t xml:space="preserve">V. Quality Control and Assurance</w:t>
      </w:r>
    </w:p>
    <w:p>
      <w:pPr>
        <w:pStyle w:val="FirstParagraph"/>
      </w:pPr>
      <w:r>
        <w:t xml:space="preserve">The integrity of this Lab Report depends heavily on the rigor of our Quality Control (QC) procedures. In Nigeria Abuja, we adhere to the guidelines set by the National Agency for Food and Drug Administration and Control (NAFDAC) alongside international ISO standards.</w:t>
      </w:r>
    </w:p>
    <w:p>
      <w:pPr>
        <w:numPr>
          <w:ilvl w:val="0"/>
          <w:numId w:val="1002"/>
        </w:numPr>
        <w:pStyle w:val="Compact"/>
      </w:pPr>
      <w:r>
        <w:rPr>
          <w:bCs/>
          <w:b/>
        </w:rPr>
        <w:t xml:space="preserve">Internal QC:</w:t>
      </w:r>
      <w:r>
        <w:t xml:space="preserve"> </w:t>
      </w:r>
      <w:r>
        <w:t xml:space="preserve">Controls were run at the beginning and end of each shift. All control values fell within two standard deviations of the mean.</w:t>
      </w:r>
    </w:p>
    <w:p>
      <w:pPr>
        <w:numPr>
          <w:ilvl w:val="0"/>
          <w:numId w:val="1002"/>
        </w:numPr>
        <w:pStyle w:val="Compact"/>
      </w:pPr>
      <w:r>
        <w:rPr>
          <w:bCs/>
          <w:b/>
        </w:rPr>
        <w:t xml:space="preserve">External Quality Assessment (EQA):</w:t>
      </w:r>
      <w:r>
        <w:t xml:space="preserve">The laboratory participates in monthly EQA schemes organized by regional bodies to benchmark our performance against other laboratories across Nigeria Abuja and the wider West African region.</w:t>
      </w:r>
    </w:p>
    <w:p>
      <w:pPr>
        <w:numPr>
          <w:ilvl w:val="0"/>
          <w:numId w:val="1002"/>
        </w:numPr>
        <w:pStyle w:val="Compact"/>
      </w:pPr>
      <w:r>
        <w:rPr>
          <w:bCs/>
          <w:b/>
        </w:rPr>
        <w:t xml:space="preserve">Precision and Accuracy:</w:t>
      </w:r>
      <w:r>
        <w:t xml:space="preserve">Coefficients of variation (CV) for critical analytes were kept below 5%, ensuring high precision in our diagnostic outputs.</w:t>
      </w:r>
    </w:p>
    <w:p>
      <w:pPr>
        <w:pStyle w:val="FirstParagraph"/>
      </w:pPr>
      <w:r>
        <w:t xml:space="preserve">The Laboratory Technician documented all deviations, if any, in the laboratory logbook. Today’s operations proceeded without significant deviation from standard operating procedures (SOPs).</w:t>
      </w:r>
    </w:p>
    <w:bookmarkEnd w:id="25"/>
    <w:bookmarkStart w:id="26" w:name="vi.-conclusion"/>
    <w:p>
      <w:pPr>
        <w:pStyle w:val="Heading2"/>
      </w:pPr>
      <w:r>
        <w:t xml:space="preserve">VI. Conclusion</w:t>
      </w:r>
    </w:p>
    <w:p>
      <w:pPr>
        <w:pStyle w:val="FirstParagraph"/>
      </w:pPr>
      <w:r>
        <w:t xml:space="preserve">This Lab Report confirms that the diagnostic services provided by our team in Nigeria Abuja meet high standards of clinical accuracy and operational efficiency. The results obtained for Patient ID NL-ABJ-9982-X indicate a generally healthy hematological profile with elevated glucose levels requiring further clinical attention.</w:t>
      </w:r>
    </w:p>
    <w:p>
      <w:pPr>
        <w:pStyle w:val="BodyText"/>
      </w:pPr>
      <w:r>
        <w:t xml:space="preserve">The role of the Laboratory Technician is indispensable in this context, serving as the first line of defense in accurate disease diagnosis. By maintaining rigorous standards and adapting to local challenges specific to Nigeria Abuja, such as infrastructure variability and diverse disease burdens, we ensure that healthcare providers receive reliable data. Continued investment in training for Laboratory Technicians and upgrading equipment remains vital for sustaining these high-quality laboratory services.</w:t>
      </w:r>
    </w:p>
    <w:bookmarkEnd w:id="26"/>
    <w:bookmarkStart w:id="27" w:name="vii.-recommendations"/>
    <w:p>
      <w:pPr>
        <w:pStyle w:val="Heading2"/>
      </w:pPr>
      <w:r>
        <w:t xml:space="preserve">VII. Recommendations</w:t>
      </w:r>
    </w:p>
    <w:p>
      <w:pPr>
        <w:numPr>
          <w:ilvl w:val="0"/>
          <w:numId w:val="1003"/>
        </w:numPr>
        <w:pStyle w:val="Compact"/>
      </w:pPr>
      <w:r>
        <w:t xml:space="preserve">Clinical staff should investigate the hyperglycemia with an HbA1c test and lifestyle modification advice.</w:t>
      </w:r>
    </w:p>
    <w:p>
      <w:pPr>
        <w:numPr>
          <w:ilvl w:val="0"/>
          <w:numId w:val="1003"/>
        </w:numPr>
        <w:pStyle w:val="Compact"/>
      </w:pPr>
      <w:r>
        <w:t xml:space="preserve">The Laboratory Technician team in Nigeria Abuja recommends quarterly training sessions on new molecular diagnostic techniques to stay current with global best practices.</w:t>
      </w:r>
    </w:p>
    <w:p>
      <w:pPr>
        <w:numPr>
          <w:ilvl w:val="0"/>
          <w:numId w:val="1003"/>
        </w:numPr>
        <w:pStyle w:val="Compact"/>
      </w:pPr>
      <w:r>
        <w:t xml:space="preserve">Maintenance of backup power systems should be prioritized to ensure continuous operation of sensitive analytical instruments, safeguarding the reliability of our Lab Report outputs.</w:t>
      </w:r>
    </w:p>
    <w:p>
      <w:r>
        <w:pict>
          <v:rect style="width:0;height:1.5pt" o:hralign="center" o:hrstd="t" o:hr="t"/>
        </w:pict>
      </w:r>
    </w:p>
    <w:p>
      <w:pPr>
        <w:pStyle w:val="FirstParagraph"/>
      </w:pPr>
      <w:r>
        <w:rPr>
          <w:iCs/>
          <w:i/>
        </w:rPr>
        <w:t xml:space="preserve">This document is generated by the Laboratory Information Management System (LIMS). For any queries regarding this Lab Report or clinical correlation, please contact the Pathology Department in Nigeria Abuja directly.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Nigeria Abuja</dc:title>
  <dc:creator/>
  <dc:language>en</dc:language>
  <cp:keywords/>
  <dcterms:created xsi:type="dcterms:W3CDTF">2026-07-29T09:37:36Z</dcterms:created>
  <dcterms:modified xsi:type="dcterms:W3CDTF">2026-07-29T09:37:36Z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