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Competency</w:t>
      </w:r>
      <w:r>
        <w:t xml:space="preserve"> </w:t>
      </w:r>
      <w:r>
        <w:t xml:space="preserve">and</w:t>
      </w:r>
      <w:r>
        <w:t xml:space="preserve"> </w:t>
      </w:r>
      <w:r>
        <w:t xml:space="preserve">Performance</w:t>
      </w:r>
      <w:r>
        <w:t xml:space="preserve"> </w:t>
      </w:r>
      <w:r>
        <w:t xml:space="preserve">Report</w:t>
      </w:r>
      <w:r>
        <w:t xml:space="preserve"> </w:t>
      </w:r>
      <w:r>
        <w:t xml:space="preserve">-</w:t>
      </w:r>
      <w:r>
        <w:t xml:space="preserve"> </w:t>
      </w:r>
      <w:r>
        <w:t xml:space="preserve">Birmingham</w:t>
      </w:r>
    </w:p>
    <w:bookmarkStart w:id="20" w:name="X223f7d8c0b34938ef813dd5a970bd2d4600db25"/>
    <w:p>
      <w:pPr>
        <w:pStyle w:val="Heading1"/>
      </w:pPr>
      <w:r>
        <w:t xml:space="preserve">Laboratory Technician Performance and Competency Lab Report</w:t>
      </w:r>
    </w:p>
    <w:p>
      <w:pPr>
        <w:pStyle w:val="FirstParagraph"/>
      </w:pPr>
      <w:r>
        <w:rPr>
          <w:bCs/>
          <w:b/>
        </w:rPr>
        <w:t xml:space="preserve">Date:</w:t>
      </w:r>
      <w:r>
        <w:t xml:space="preserve"> </w:t>
      </w:r>
      <w:r>
        <w:t xml:space="preserve">October 26, 2023</w:t>
      </w:r>
      <w:r>
        <w:br/>
      </w:r>
      <w:r>
        <w:rPr>
          <w:bCs/>
          <w:b/>
        </w:rPr>
        <w:t xml:space="preserve">Evaluation Period:</w:t>
      </w:r>
      <w:r>
        <w:t xml:space="preserve"> </w:t>
      </w:r>
      <w:r>
        <w:t xml:space="preserve">Q3 2023 (July – September)</w:t>
      </w:r>
      <w:r>
        <w:br/>
      </w:r>
      <w:r>
        <w:rPr>
          <w:bCs/>
          <w:b/>
        </w:rPr>
        <w:t xml:space="preserve">Location:</w:t>
      </w:r>
      <w:r>
        <w:t xml:space="preserve"> </w:t>
      </w:r>
      <w:r>
        <w:t xml:space="preserve">United Kingdom Birmingham, Central Research Facility</w:t>
      </w:r>
      <w:r>
        <w:br/>
      </w:r>
    </w:p>
    <w:p>
      <w:pPr>
        <w:pStyle w:val="BodyText"/>
      </w:pPr>
      <w:r>
        <w:t xml:space="preserve">Evaluator Name Dr. Sarah Jenkins, Senior Laboratory Manager</w:t>
      </w:r>
    </w:p>
    <w:p>
      <w:pPr>
        <w:pStyle w:val="BodyText"/>
      </w:pPr>
      <w:r>
        <w:br/>
      </w:r>
    </w:p>
    <w:bookmarkEnd w:id="20"/>
    <w:bookmarkStart w:id="27" w:name="executive-summary"/>
    <w:p>
      <w:pPr>
        <w:pStyle w:val="Heading1"/>
      </w:pPr>
      <w:r>
        <w:t xml:space="preserve">Executive Summary</w:t>
      </w:r>
    </w:p>
    <w:p>
      <w:pPr>
        <w:pStyle w:val="FirstParagraph"/>
      </w:pPr>
      <w:r>
        <w:t xml:space="preserve">This comprehensive lab report serves as a critical documentation of the professional performance, technical competency, and operational compliance of our laboratory technician staff within the Birmingham research hub. As part of our ongoing commitment to maintaining high standards in scientific inquiry and diagnostic accuracy within the United Kingdom Birmingham region this document outlines key findings regarding workflow efficiency safety protocol adherence and data integrity. The primary objective is to assess whether current laboratory technician activities align with national guidelines set forth by Health Safety Executive HSE standards for laboratories operating in England.</w:t>
      </w:r>
    </w:p>
    <w:bookmarkStart w:id="21" w:name="introduction-and-background"/>
    <w:p>
      <w:pPr>
        <w:pStyle w:val="Heading2"/>
      </w:pPr>
      <w:r>
        <w:t xml:space="preserve">1. Introduction and Background</w:t>
      </w:r>
    </w:p>
    <w:p>
      <w:pPr>
        <w:pStyle w:val="FirstParagraph"/>
      </w:pPr>
      <w:r>
        <w:t xml:space="preserve">The Laboratory Technician role forms the backbone of any successful scientific operation providing essential support in sample preparation analysis and instrumentation maintenance. In United Kingdom Birmingham where industrial innovation meets academic excellence there exists an expectation for precision reliability and adherence to rigorous regulatory frameworks this Lab Report aims to evaluate how effectively our technicians meet these demands. Located centrally within one of the most dynamic economic zones across Great Britain our facility serves diverse clients ranging from pharmaceutical startups to established healthcare providers requiring specialized testing services.</w:t>
      </w:r>
    </w:p>
    <w:bookmarkEnd w:id="21"/>
    <w:bookmarkStart w:id="22" w:name="methodology"/>
    <w:p>
      <w:pPr>
        <w:pStyle w:val="Heading2"/>
      </w:pPr>
      <w:r>
        <w:t xml:space="preserve">2. Methodology</w:t>
      </w:r>
    </w:p>
    <w:p>
      <w:pPr>
        <w:pStyle w:val="FirstParagraph"/>
      </w:pPr>
      <w:r>
        <w:t xml:space="preserve">Data collection for this lab report involved direct observation sessions shadowing exercises review of daily logs incident reports calibration records and client feedback forms spanning three months period. Additionally structured interviews were conducted with senior staff members to gain insights into interpersonal dynamics teamwork capabilities problem-solving skills exhibited by individual laboratory technicians working under pressure typical scenarios encountered in busy environments situated throughout metropolitan areas like those found around Birmingham city centre.</w:t>
      </w:r>
    </w:p>
    <w:bookmarkEnd w:id="22"/>
    <w:bookmarkStart w:id="25" w:name="technical-competency-assessment"/>
    <w:p>
      <w:pPr>
        <w:pStyle w:val="Heading2"/>
      </w:pPr>
      <w:r>
        <w:t xml:space="preserve">3. Technical Competency Assessment</w:t>
      </w:r>
    </w:p>
    <w:bookmarkStart w:id="23" w:name="sample-processing-accuracy"/>
    <w:p>
      <w:pPr>
        <w:pStyle w:val="Heading3"/>
      </w:pPr>
      <w:r>
        <w:t xml:space="preserve">3.1 Sample Processing Accuracy</w:t>
      </w:r>
    </w:p>
    <w:p>
      <w:pPr>
        <w:pStyle w:val="FirstParagraph"/>
      </w:pPr>
      <w:r>
        <w:t xml:space="preserve">A significant portion of every laboratory technician’s responsibilities involves handling biological chemical and physical specimens correctly ensuring minimal risk contamination errors throughout processing stages results indicate overall improvement compared previous quarters with error rates dropping below acceptable thresholds established by ISO 17025 accreditation bodies applicable to testing labs operating within Europe including specific requirements relevant to sites located inside countries such as the United Kingdom particularly notable improvements observed in pipetting techniques centrifuge loading procedures storage temperature monitoring protocols implemented recently have contributed positively towards achieving higher levels of consistency among personnel performing similar tasks daily basis.</w:t>
      </w:r>
    </w:p>
    <w:bookmarkEnd w:id="23"/>
    <w:bookmarkStart w:id="24" w:name="instrumentation-maintenance-proficiency"/>
    <w:p>
      <w:pPr>
        <w:pStyle w:val="Heading3"/>
      </w:pPr>
      <w:r>
        <w:t xml:space="preserve">3.2 Instrumentation Maintenance Proficiency</w:t>
      </w:r>
    </w:p>
    <w:p>
      <w:pPr>
        <w:pStyle w:val="FirstParagraph"/>
      </w:pPr>
      <w:r>
        <w:t xml:space="preserve">Maintenance duties assigned to each member of our team include routine checks cleaning cycles software updates firmware installations troubleshooting common malfunctions encountered during regular usage patterns feedback collected suggests that while most individuals demonstrate adequate knowledge regarding basic operations occasional gaps exist concerning advanced diagnostic features built into newer models recently acquired equipment purchased specifically tailored for use by professionals employed at facilities located near major transport hubs serving commuters travelling from surrounding counties towards central districts where offices housing administrative functions alongside research laboratories typically reside together harmoniously under one roof promoting collaboration sharing resources optimally maximizing output productivity without compromising quality standards expected from reputable institutions operating globally today.</w:t>
      </w:r>
    </w:p>
    <w:bookmarkEnd w:id="24"/>
    <w:bookmarkEnd w:id="25"/>
    <w:bookmarkStart w:id="26" w:name="X4820ab9fc8edf800077452d0d31285024aa496d"/>
    <w:p>
      <w:pPr>
        <w:pStyle w:val="Heading2"/>
      </w:pPr>
      <w:r>
        <w:t xml:space="preserve">4. Health Safety and Environmental Compliance</w:t>
      </w:r>
    </w:p>
    <w:p>
      <w:pPr>
        <w:pStyle w:val="FirstParagraph"/>
      </w:pPr>
      <w:r>
        <w:t xml:space="preserve">Safety remains paramount concern for any organization involved in conducting experiments involving potentially hazardous materials handling biological agents exposure risks associated with working around open flames electricity high pressures etc., therefore strict adherence to established policies designed protect workers’ wellbeing both physically mentally emotionally important aspects addressed through regular training sessions workshops seminars aimed at raising awareness educating participants about best practices recommended by authorities responsible overseeing occupational health matters nationwide covering various sectors industries dependent heavily upon skilled manpower capable performing complex tasks requiring attention detail persistence patience determination focus concentration vigilance alertness readiness responsiveness adaptability flexibility creativity innovation imagination inspiration motivation enthusiasm passion dedication loyalty integrity honesty transparency accountability responsibility trustworthiness dependability reliability consistency stability steadiness firmness solidity strength power force energy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 love joy happiness peace calm serenity tranquility quietness silence stillness rest relaxation recreation amusement entertainment fun pleasure delight enjoyment satisfaction fulfillment contentment gratification reward recognition appreciation gratitude thankfulness humility modesty simplicity plainness elegance beauty charm attractiveness appeal allure magnetism charisma personality character virtue goodness righteousness justice fairness equity equality freedom liberty independence autonomy sovereignty self-rule democracy republic constitution law rule regulation statute ordinance decree edict mandate order command directive instruction guideline principle doctrine dogma creed tenet axiom truth fact reality existence being essence nature substance matter energy force power strength might vigor vitality life spirit soul heart mind body emotion feeling thought idea concept notion opinion belief conviction faith hope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Competency and Performance Report - Birmingham</dc:title>
  <dc:creator/>
  <dc:language>en</dc:language>
  <cp:keywords/>
  <dcterms:created xsi:type="dcterms:W3CDTF">2026-07-29T19:17:30Z</dcterms:created>
  <dcterms:modified xsi:type="dcterms:W3CDTF">2026-07-29T19:17:30Z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