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Miami</w:t>
      </w:r>
      <w:r>
        <w:t xml:space="preserve"> </w:t>
      </w:r>
      <w:r>
        <w:t xml:space="preserve">Operations</w:t>
      </w:r>
    </w:p>
    <w:bookmarkStart w:id="31" w:name="X341b22024b71026679fb6f87a82dae53d1859ef"/>
    <w:p>
      <w:pPr>
        <w:pStyle w:val="Heading1"/>
      </w:pPr>
      <w:r>
        <w:t xml:space="preserve">Laboratory Technician Lab Report</w:t>
      </w:r>
      <w:r>
        <w:br/>
      </w:r>
      <w:r>
        <w:t xml:space="preserve">Compliance and Operational Analysis for United States Miami Facilities</w:t>
      </w:r>
    </w:p>
    <w:p>
      <w:pPr>
        <w:pStyle w:val="FirstParagraph"/>
      </w:pPr>
      <w:r>
        <w:rPr>
          <w:bCs/>
          <w:b/>
        </w:rPr>
        <w:t xml:space="preserve">Date:</w:t>
      </w:r>
      <w:r>
        <w:t xml:space="preserve"> </w:t>
      </w:r>
      <w:r>
        <w:t xml:space="preserve">May 24, 2024</w:t>
      </w:r>
      <w:r>
        <w:br/>
      </w:r>
      <w:r>
        <w:rPr>
          <w:bCs/>
          <w:b/>
        </w:rPr>
        <w:t xml:space="preserve">To:</w:t>
      </w:r>
      <w:r>
        <w:t xml:space="preserve"> </w:t>
      </w:r>
      <w:r>
        <w:t xml:space="preserve">Chief Medical Officer, Florida Regional Health Systems</w:t>
      </w:r>
      <w:r>
        <w:br/>
      </w:r>
      <w:r>
        <w:rPr>
          <w:bCs/>
          <w:b/>
        </w:rPr>
        <w:t xml:space="preserve">From:</w:t>
      </w:r>
      <w:r>
        <w:t xml:space="preserve"> </w:t>
      </w:r>
      <w:r>
        <w:t xml:space="preserve">Senior Laboratory Technician Unit</w:t>
      </w:r>
      <w:r>
        <w:br/>
      </w:r>
      <w:r>
        <w:rPr>
          <w:bCs/>
          <w:b/>
        </w:rPr>
        <w:t xml:space="preserve">Status:</w:t>
      </w:r>
      <w:r>
        <w:t xml:space="preserve">Finalized Report</w:t>
      </w:r>
    </w:p>
    <w:p>
      <w:pPr>
        <w:pStyle w:val="BodyText"/>
      </w:pPr>
      <w:r>
        <w:drawing>
          <wp:inline>
            <wp:extent cx="3810000" cy="2540000"/>
            <wp:effectExtent b="0" l="0" r="0" t="0"/>
            <wp:docPr descr="Lab Report Seal" title="" id="21" name="Picture"/>
            <a:graphic>
              <a:graphicData uri="http://schemas.openxmlformats.org/drawingml/2006/picture">
                <pic:pic>
                  <pic:nvPicPr>
                    <pic:cNvPr descr="https://i.imgur.com/example.png" id="22" name="Picture"/>
                    <pic:cNvPicPr>
                      <a:picLocks noChangeArrowheads="1" noChangeAspect="1"/>
                    </pic:cNvPicPr>
                  </pic:nvPicPr>
                  <pic:blipFill>
                    <a:blip r:embed="rId20"/>
                    <a:stretch>
                      <a:fillRect/>
                    </a:stretch>
                  </pic:blipFill>
                  <pic:spPr bwMode="auto">
                    <a:xfrm>
                      <a:off x="0" y="0"/>
                      <a:ext cx="3810000" cy="2540000"/>
                    </a:xfrm>
                    <a:prstGeom prst="rect">
                      <a:avLst/>
                    </a:prstGeom>
                    <a:noFill/>
                    <a:ln w="9525">
                      <a:noFill/>
                      <a:headEnd/>
                      <a:tailEnd/>
                    </a:ln>
                  </pic:spPr>
                </pic:pic>
              </a:graphicData>
            </a:graphic>
          </wp:inline>
        </w:drawing>
      </w:r>
    </w:p>
    <w:bookmarkStart w:id="23" w:name="executive-summary"/>
    <w:p>
      <w:pPr>
        <w:pStyle w:val="Heading2"/>
      </w:pPr>
      <w:r>
        <w:t xml:space="preserve">1. Executive Summary</w:t>
      </w:r>
    </w:p>
    <w:p>
      <w:pPr>
        <w:pStyle w:val="FirstParagraph"/>
      </w:pPr>
      <w:r>
        <w:t xml:space="preserve">This comprehensive</w:t>
      </w:r>
      <w:r>
        <w:t xml:space="preserve"> </w:t>
      </w:r>
      <w:r>
        <w:rPr>
          <w:bCs/>
          <w:b/>
        </w:rPr>
        <w:t xml:space="preserve">Laboratory Technician Lab Report</w:t>
      </w:r>
      <w:r>
        <w:t xml:space="preserve"> </w:t>
      </w:r>
      <w:r>
        <w:t xml:space="preserve">serves as the definitive record of operational efficiency, sample integrity, and regulatory compliance within our clinical facilities located in the</w:t>
      </w:r>
      <w:r>
        <w:t xml:space="preserve"> </w:t>
      </w:r>
      <w:r>
        <w:rPr>
          <w:bCs/>
          <w:b/>
        </w:rPr>
        <w:t xml:space="preserve">United States Miami</w:t>
      </w:r>
      <w:r>
        <w:t xml:space="preserve"> </w:t>
      </w:r>
      <w:r>
        <w:t xml:space="preserve">metropolitan area. The primary objective of this document is to provide a transparent audit trail regarding the recent surge in diagnostic testing volumes and to validate the protocols employed by our certified personnel. As a hub for international medical tourism and domestic healthcare, Miami presents unique logistical challenges that require rigorous adherence to federal and state standards. This report highlights the critical role of the</w:t>
      </w:r>
      <w:r>
        <w:t xml:space="preserve"> </w:t>
      </w:r>
      <w:r>
        <w:rPr>
          <w:bCs/>
          <w:b/>
        </w:rPr>
        <w:t xml:space="preserve">Laboratory Technician</w:t>
      </w:r>
      <w:r>
        <w:t xml:space="preserve"> </w:t>
      </w:r>
      <w:r>
        <w:t xml:space="preserve">in maintaining these high standards amidst environmental stressors specific to South Florida.</w:t>
      </w:r>
    </w:p>
    <w:bookmarkEnd w:id="23"/>
    <w:bookmarkStart w:id="24" w:name="introduction-and-context"/>
    <w:p>
      <w:pPr>
        <w:pStyle w:val="Heading2"/>
      </w:pPr>
      <w:r>
        <w:t xml:space="preserve">2. Introduction and Context</w:t>
      </w:r>
    </w:p>
    <w:p>
      <w:pPr>
        <w:pStyle w:val="FirstParagraph"/>
      </w:pPr>
      <w:r>
        <w:t xml:space="preserve">The clinical laboratory is often referred to as the "heart" of modern healthcare diagnostics, providing essential data that guides physician decision-making. In</w:t>
      </w:r>
      <w:r>
        <w:t xml:space="preserve"> </w:t>
      </w:r>
      <w:r>
        <w:rPr>
          <w:bCs/>
          <w:b/>
        </w:rPr>
        <w:t xml:space="preserve">Miami</w:t>
      </w:r>
      <w:r>
        <w:t xml:space="preserve">, a city characterized by high humidity, rapid population growth, and a diverse demographic profile, the demands placed on diagnostic services are distinctively intensive. The purpose of this</w:t>
      </w:r>
      <w:r>
        <w:t xml:space="preserve"> </w:t>
      </w:r>
      <w:r>
        <w:rPr>
          <w:bCs/>
          <w:b/>
        </w:rPr>
        <w:t xml:space="preserve">Laboratory Technician Lab Report</w:t>
      </w:r>
      <w:r>
        <w:t xml:space="preserve"> </w:t>
      </w:r>
      <w:r>
        <w:t xml:space="preserve">is to document the performance metrics of our facility over the preceding quarter. We focus specifically on how our staff manages temperature-sensitive reagents and maintains calibration accuracy in an environment where external weather conditions can impact internal climate control systems.</w:t>
      </w:r>
    </w:p>
    <w:p>
      <w:pPr>
        <w:pStyle w:val="BodyText"/>
      </w:pPr>
      <w:r>
        <w:t xml:space="preserve">Furthermore, operating within the</w:t>
      </w:r>
      <w:r>
        <w:t xml:space="preserve"> </w:t>
      </w:r>
      <w:r>
        <w:rPr>
          <w:bCs/>
          <w:b/>
        </w:rPr>
        <w:t xml:space="preserve">United States Miami</w:t>
      </w:r>
      <w:r>
        <w:t xml:space="preserve"> </w:t>
      </w:r>
      <w:r>
        <w:t xml:space="preserve">jurisdiction requires strict compliance with both CLIA (Clinical Laboratory Improvement Amendments) and CAP (College of American Pathologists) standards. This report outlines how our team navigates these regulatory landscapes while ensuring patient safety and data accuracy. The narrative below details specific case studies where</w:t>
      </w:r>
      <w:r>
        <w:t xml:space="preserve"> </w:t>
      </w:r>
      <w:r>
        <w:rPr>
          <w:bCs/>
          <w:b/>
        </w:rPr>
        <w:t xml:space="preserve">Laboratory Technician</w:t>
      </w:r>
      <w:r>
        <w:t xml:space="preserve"> </w:t>
      </w:r>
      <w:r>
        <w:t xml:space="preserve">intervention was crucial in preventing diagnostic errors.</w:t>
      </w:r>
    </w:p>
    <w:bookmarkEnd w:id="24"/>
    <w:bookmarkStart w:id="25" w:name="methodology-and-operational-protocols"/>
    <w:p>
      <w:pPr>
        <w:pStyle w:val="Heading2"/>
      </w:pPr>
      <w:r>
        <w:t xml:space="preserve">3. Methodology and Operational Protocols</w:t>
      </w:r>
    </w:p>
    <w:p>
      <w:pPr>
        <w:pStyle w:val="FirstParagraph"/>
      </w:pPr>
      <w:r>
        <w:t xml:space="preserve">To ensure the validity of our findings, this</w:t>
      </w:r>
      <w:r>
        <w:t xml:space="preserve"> </w:t>
      </w:r>
      <w:r>
        <w:rPr>
          <w:bCs/>
          <w:b/>
        </w:rPr>
        <w:t xml:space="preserve">Laboratory Technician Lab Report</w:t>
      </w:r>
      <w:r>
        <w:t xml:space="preserve"> </w:t>
      </w:r>
      <w:r>
        <w:t xml:space="preserve">adheres to a standardized methodology. All samples collected from outpatient clinics and inpatient wards across</w:t>
      </w:r>
      <w:r>
        <w:t xml:space="preserve"> </w:t>
      </w:r>
      <w:r>
        <w:rPr>
          <w:bCs/>
          <w:b/>
        </w:rPr>
        <w:t xml:space="preserve">Miami</w:t>
      </w:r>
      <w:r>
        <w:t xml:space="preserve">Dade County were processed according to strict Standard Operating Procedures (SOPs). The following steps were undertaken:</w:t>
      </w:r>
    </w:p>
    <w:p>
      <w:pPr>
        <w:numPr>
          <w:ilvl w:val="0"/>
          <w:numId w:val="1001"/>
        </w:numPr>
        <w:pStyle w:val="Compact"/>
      </w:pPr>
      <w:r>
        <w:rPr>
          <w:bCs/>
          <w:b/>
        </w:rPr>
        <w:t xml:space="preserve">Sample Receipt and Tracking:</w:t>
      </w:r>
      <w:r>
        <w:t xml:space="preserve">A barcode-based tracking system was utilized to monitor sample movement from collection to analysis. This minimizes the risk of misidentification, a critical concern in high-volume urban centers like</w:t>
      </w:r>
      <w:r>
        <w:t xml:space="preserve"> </w:t>
      </w:r>
      <w:r>
        <w:rPr>
          <w:bCs/>
          <w:b/>
        </w:rPr>
        <w:t xml:space="preserve">Miami</w:t>
      </w:r>
      <w:r>
        <w:t xml:space="preserve">.</w:t>
      </w:r>
    </w:p>
    <w:p>
      <w:pPr>
        <w:numPr>
          <w:ilvl w:val="0"/>
          <w:numId w:val="1001"/>
        </w:numPr>
        <w:pStyle w:val="Compact"/>
      </w:pPr>
    </w:p>
    <w:p>
      <w:pPr>
        <w:numPr>
          <w:ilvl w:val="0"/>
          <w:numId w:val="1000"/>
        </w:numPr>
        <w:pStyle w:val="Compact"/>
      </w:pPr>
      <w:r>
        <w:t xml:space="preserve">Reagent Management: Given the tropical climate of</w:t>
      </w:r>
      <w:r>
        <w:t xml:space="preserve"> </w:t>
      </w:r>
      <w:r>
        <w:rPr>
          <w:bCs/>
          <w:b/>
        </w:rPr>
        <w:t xml:space="preserve">United States Miami</w:t>
      </w:r>
      <w:r>
        <w:t xml:space="preserve">, reagent storage temperatures were monitored every two hours. Digital logs were cross-referenced with manual backup records to ensure no deviation from the 2°C to 8°C range required for most enzyme-based assays.</w:t>
      </w:r>
    </w:p>
    <w:p>
      <w:pPr>
        <w:numPr>
          <w:ilvl w:val="0"/>
          <w:numId w:val="1001"/>
        </w:numPr>
        <w:pStyle w:val="Compact"/>
      </w:pPr>
    </w:p>
    <w:p>
      <w:pPr>
        <w:numPr>
          <w:ilvl w:val="0"/>
          <w:numId w:val="1000"/>
        </w:numPr>
        <w:pStyle w:val="Compact"/>
      </w:pPr>
      <w:r>
        <w:t xml:space="preserve">Analytical Execution: Certified</w:t>
      </w:r>
      <w:r>
        <w:t xml:space="preserve"> </w:t>
      </w:r>
      <w:r>
        <w:rPr>
          <w:bCs/>
          <w:b/>
        </w:rPr>
        <w:t xml:space="preserve">Laboratory Technician</w:t>
      </w:r>
      <w:r>
        <w:t xml:space="preserve"> </w:t>
      </w:r>
      <w:r>
        <w:t xml:space="preserve">staff performed all automated and manual testing procedures. Internal quality control (IQC) materials were run at the beginning, middle, and end of each batch to detect any instrumental drift or calibration issues.</w:t>
      </w:r>
    </w:p>
    <w:bookmarkEnd w:id="25"/>
    <w:bookmarkStart w:id="26" w:name="environmental-challenges-in-miami"/>
    <w:p>
      <w:pPr>
        <w:pStyle w:val="Heading2"/>
      </w:pPr>
      <w:r>
        <w:t xml:space="preserve">4. Environmental Challenges in Miami</w:t>
      </w:r>
    </w:p>
    <w:p>
      <w:pPr>
        <w:pStyle w:val="FirstParagraph"/>
      </w:pPr>
      <w:r>
        <w:t xml:space="preserve">A distinct section of this</w:t>
      </w:r>
      <w:r>
        <w:t xml:space="preserve"> </w:t>
      </w:r>
      <w:r>
        <w:rPr>
          <w:bCs/>
          <w:b/>
        </w:rPr>
        <w:t xml:space="preserve">Laboratory Technician Lab Report</w:t>
      </w:r>
      <w:r>
        <w:t xml:space="preserve"> </w:t>
      </w:r>
      <w:r>
        <w:t xml:space="preserve">addresses the environmental variables unique to</w:t>
      </w:r>
      <w:r>
        <w:t xml:space="preserve"> </w:t>
      </w:r>
      <w:r>
        <w:rPr>
          <w:bCs/>
          <w:b/>
        </w:rPr>
        <w:t xml:space="preserve">Miami</w:t>
      </w:r>
      <w:r>
        <w:t xml:space="preserve">. The city’s subtropical climate poses significant risks to laboratory infrastructure. During the report period, humidity levels frequently exceeded 80%, leading to potential condensation issues near sensitive analytical equipment. Our</w:t>
      </w:r>
    </w:p>
    <w:p>
      <w:pPr>
        <w:pStyle w:val="BodyText"/>
      </w:pPr>
      <w:r>
        <w:t xml:space="preserve">Laboratory Technician staff implemented enhanced dehumidification protocols and increased the frequency of HVAC maintenance checks.</w:t>
      </w:r>
    </w:p>
    <w:p>
      <w:pPr>
        <w:pStyle w:val="BodyText"/>
      </w:pPr>
      <w:r>
        <w:t xml:space="preserve">Additionally, seasonal hurricane risks necessitate robust business continuity plans. This report details our drill exercises conducted to ensure that critical samples could be safely transported to backup facilities within the</w:t>
      </w:r>
      <w:r>
        <w:t xml:space="preserve"> </w:t>
      </w:r>
      <w:r>
        <w:rPr>
          <w:bCs/>
          <w:b/>
        </w:rPr>
        <w:t xml:space="preserve">United States Miami</w:t>
      </w:r>
      <w:r>
        <w:t xml:space="preserve"> </w:t>
      </w:r>
      <w:r>
        <w:t xml:space="preserve">area in the event of power grid failures. The resilience demonstrated by our team underscores the importance of rigorous preparation in this geographic region.</w:t>
      </w:r>
    </w:p>
    <w:bookmarkEnd w:id="26"/>
    <w:bookmarkStart w:id="27" w:name="Xbcb6d5cc792b5d7e539fb76b4c72b05dcbbcffa"/>
    <w:p>
      <w:pPr>
        <w:pStyle w:val="Heading2"/>
      </w:pPr>
      <w:r>
        <w:t xml:space="preserve">5. Data Analysis and Quality Control Metrics</w:t>
      </w:r>
    </w:p>
    <w:p>
      <w:pPr>
        <w:pStyle w:val="FirstParagraph"/>
      </w:pPr>
      <w:r>
        <w:rPr>
          <w:bCs/>
          <w:b/>
        </w:rPr>
        <w:t xml:space="preserve">Table 1:</w:t>
      </w:r>
    </w:p>
    <w:p>
      <w:pPr>
        <w:pStyle w:val="BodyText"/>
      </w:pPr>
      <w:r>
        <w:t xml:space="preserve">Metric</w:t>
      </w:r>
    </w:p>
    <w:p>
      <w:pPr>
        <w:pStyle w:val="BodyText"/>
      </w:pPr>
      <w:r>
        <w:t xml:space="preserve">Target Value</w:t>
      </w:r>
    </w:p>
    <w:p>
      <w:pPr>
        <w:pStyle w:val="BodyText"/>
      </w:pPr>
      <w:r>
        <w:t xml:space="preserve">Total Samples Processed12,450</w:t>
      </w:r>
    </w:p>
    <w:p>
      <w:pPr>
        <w:pStyle w:val="BodyText"/>
      </w:pPr>
      <w:r>
        <w:t xml:space="preserve">13,000</w:t>
      </w:r>
    </w:p>
    <w:p>
      <w:pPr>
        <w:pStyle w:val="BodyText"/>
      </w:pPr>
      <w:r>
        <w:t xml:space="preserve">Error Rate</w:t>
      </w:r>
    </w:p>
    <w:p>
      <w:pPr>
        <w:pStyle w:val="BodyText"/>
      </w:pPr>
      <w:r>
        <w:t xml:space="preserve">&lt;.2%Positive ID Matches</w:t>
      </w:r>
    </w:p>
    <w:p>
      <w:pPr>
        <w:pStyle w:val="BodyText"/>
      </w:pPr>
      <w:r>
        <w:t xml:space="preserve">99.8%</w:t>
      </w:r>
    </w:p>
    <w:p>
      <w:pPr>
        <w:pStyle w:val="BodyText"/>
      </w:pPr>
      <w:r>
        <w:t xml:space="preserve">99.7%</w:t>
      </w:r>
    </w:p>
    <w:p>
      <w:pPr>
        <w:pStyle w:val="BodyText"/>
      </w:pPr>
      <w:r>
        <w:t xml:space="preserve">The data presented above indicates that our operations in</w:t>
      </w:r>
      <w:r>
        <w:t xml:space="preserve"> </w:t>
      </w:r>
      <w:r>
        <w:rPr>
          <w:bCs/>
          <w:b/>
        </w:rPr>
        <w:t xml:space="preserve">Miami</w:t>
      </w:r>
      <w:r>
        <w:t xml:space="preserve"> </w:t>
      </w:r>
      <w:r>
        <w:t xml:space="preserve">have remained highly efficient despite external pressures. The slight deviation in positive ID matches was investigated and traced to a temporary software latency issue, which was resolved within four hours by our IT support team working in tandem with the</w:t>
      </w:r>
    </w:p>
    <w:p>
      <w:pPr>
        <w:pStyle w:val="BodyText"/>
      </w:pPr>
      <w:r>
        <w:t xml:space="preserve">Laboratory Technician staff. This incident highlights the necessity of interdisciplinary communication.</w:t>
      </w:r>
    </w:p>
    <w:p>
      <w:pPr>
        <w:pStyle w:val="BodyText"/>
      </w:pPr>
      <w:r>
        <w:t xml:space="preserve">In terms of accuracy, all</w:t>
      </w:r>
    </w:p>
    <w:p>
      <w:pPr>
        <w:pStyle w:val="BodyText"/>
      </w:pPr>
      <w:r>
        <w:t xml:space="preserve">Laboratory Technician-performed tests fell within acceptable Westgard rules limits. No false positives or negatives were reported during this period, ensuring that patient care decisions in</w:t>
      </w:r>
      <w:r>
        <w:t xml:space="preserve"> </w:t>
      </w:r>
      <w:r>
        <w:rPr>
          <w:bCs/>
          <w:b/>
        </w:rPr>
        <w:t xml:space="preserve">United States Miami</w:t>
      </w:r>
      <w:r>
        <w:t xml:space="preserve"> </w:t>
      </w:r>
      <w:r>
        <w:t xml:space="preserve">hospitals were based on reliable data.</w:t>
      </w:r>
    </w:p>
    <w:bookmarkEnd w:id="27"/>
    <w:bookmarkStart w:id="28" w:name="compliance-and-regulatory-adherence"/>
    <w:p>
      <w:pPr>
        <w:pStyle w:val="Heading2"/>
      </w:pPr>
      <w:r>
        <w:t xml:space="preserve">6. Compliance and Regulatory Adherence</w:t>
      </w:r>
    </w:p>
    <w:p>
      <w:pPr>
        <w:pStyle w:val="FirstParagraph"/>
      </w:pPr>
      <w:r>
        <w:t xml:space="preserve">This</w:t>
      </w:r>
      <w:r>
        <w:t xml:space="preserve"> </w:t>
      </w:r>
      <w:r>
        <w:rPr>
          <w:bCs/>
          <w:b/>
        </w:rPr>
        <w:t xml:space="preserve">Laboratory Technician Lab Report</w:t>
      </w:r>
      <w:r>
        <w:t xml:space="preserve"> </w:t>
      </w:r>
      <w:r>
        <w:t xml:space="preserve">confirms full compliance with all relevant regulations governing clinical laboratories in the</w:t>
      </w:r>
      <w:r>
        <w:t xml:space="preserve"> </w:t>
      </w:r>
      <w:r>
        <w:rPr>
          <w:bCs/>
          <w:b/>
        </w:rPr>
        <w:t xml:space="preserve">United States Miami</w:t>
      </w:r>
      <w:r>
        <w:t xml:space="preserve"> </w:t>
      </w:r>
      <w:r>
        <w:t xml:space="preserve">region. Our facility underwent an unannounced inspection by state health officials last month, resulting in zero citations. The inspector praised our documentation practices and the rigorous training regimen provided to our</w:t>
      </w:r>
    </w:p>
    <w:p>
      <w:pPr>
        <w:pStyle w:val="BodyText"/>
      </w:pPr>
      <w:r>
        <w:t xml:space="preserve">Laboratory Technician staff.</w:t>
      </w:r>
    </w:p>
    <w:p>
      <w:pPr>
        <w:pStyle w:val="BodyText"/>
      </w:pPr>
      <w:r>
        <w:t xml:space="preserve">We maintain a continuous education program where technicians review updates from the CDC and FDA specific to emerging pathogens prevalent in tropical climates, such as Dengue, Zika, and Chikungunya viruses. This proactive approach ensures that our diagnostic capabilities remain cutting-edge and relevant to the local epidemiology of</w:t>
      </w:r>
      <w:r>
        <w:t xml:space="preserve"> </w:t>
      </w:r>
      <w:r>
        <w:rPr>
          <w:bCs/>
          <w:b/>
        </w:rPr>
        <w:t xml:space="preserve">Miami</w:t>
      </w:r>
      <w:r>
        <w:t xml:space="preserve">.</w:t>
      </w:r>
    </w:p>
    <w:bookmarkEnd w:id="28"/>
    <w:bookmarkStart w:id="29" w:name="recommendations-for-future-operations"/>
    <w:p>
      <w:pPr>
        <w:pStyle w:val="Heading2"/>
      </w:pPr>
      <w:r>
        <w:t xml:space="preserve">7. Recommendations for Future Operations</w:t>
      </w:r>
    </w:p>
    <w:p>
      <w:pPr>
        <w:pStyle w:val="FirstParagraph"/>
      </w:pPr>
      <w:r>
        <w:t xml:space="preserve">Based on the analysis contained in this</w:t>
      </w:r>
    </w:p>
    <w:p>
      <w:pPr>
        <w:pStyle w:val="BodyText"/>
      </w:pPr>
      <w:r>
        <w:t xml:space="preserve">Laboratory Technician Lab Report, several recommendations are proposed for ongoing improvement in our</w:t>
      </w:r>
    </w:p>
    <w:p>
      <w:pPr>
        <w:pStyle w:val="BodyText"/>
      </w:pPr>
      <w:r>
        <w:t xml:space="preserve">United States Miami facility:</w:t>
      </w:r>
    </w:p>
    <w:p>
      <w:pPr>
        <w:numPr>
          <w:ilvl w:val="0"/>
          <w:numId w:val="1002"/>
        </w:numPr>
        <w:pStyle w:val="Compact"/>
      </w:pPr>
      <w:r>
        <w:t xml:space="preserve">Infrastructure Upgrade: Invest in more robust HVAC systems with independent power backups to mitigate the impact of humidity and potential storm-related outages.</w:t>
      </w:r>
    </w:p>
    <w:p>
      <w:pPr>
        <w:numPr>
          <w:ilvl w:val="0"/>
          <w:numId w:val="1002"/>
        </w:numPr>
        <w:pStyle w:val="Compact"/>
      </w:pPr>
      <w:r>
        <w:t xml:space="preserve">Staff Expansion: Increase headcount for</w:t>
      </w:r>
    </w:p>
    <w:p>
      <w:pPr>
        <w:numPr>
          <w:ilvl w:val="0"/>
          <w:numId w:val="1000"/>
        </w:numPr>
        <w:pStyle w:val="Compact"/>
      </w:pPr>
      <w:r>
        <w:t xml:space="preserve">Laboratory Technician roles to reduce shift fatigue during peak seasonal rushes, which are common in</w:t>
      </w:r>
    </w:p>
    <w:p>
      <w:pPr>
        <w:numPr>
          <w:ilvl w:val="0"/>
          <w:numId w:val="1000"/>
        </w:numPr>
        <w:pStyle w:val="Compact"/>
      </w:pPr>
      <w:r>
        <w:t xml:space="preserve">Miami’s</w:t>
      </w:r>
    </w:p>
    <w:p>
      <w:pPr>
        <w:numPr>
          <w:ilvl w:val="0"/>
          <w:numId w:val="1002"/>
        </w:numPr>
        <w:pStyle w:val="Compact"/>
      </w:pPr>
      <w:r>
        <w:t xml:space="preserve">Technological Integration: Implement AI-driven quality control tools that can predict instrument failures before they occur, further enhancing the reliability of our services in the</w:t>
      </w:r>
    </w:p>
    <w:p>
      <w:pPr>
        <w:numPr>
          <w:ilvl w:val="0"/>
          <w:numId w:val="1000"/>
        </w:numPr>
        <w:pStyle w:val="Compact"/>
      </w:pPr>
      <w:r>
        <w:t xml:space="preserve">United States Miami</w:t>
      </w:r>
    </w:p>
    <w:bookmarkEnd w:id="29"/>
    <w:bookmarkStart w:id="30" w:name="conclusion"/>
    <w:p>
      <w:pPr>
        <w:pStyle w:val="Heading2"/>
      </w:pPr>
      <w:r>
        <w:t xml:space="preserve">8. Conclusion</w:t>
      </w:r>
    </w:p>
    <w:p>
      <w:pPr>
        <w:pStyle w:val="FirstParagraph"/>
      </w:pPr>
      <w:r>
        <w:t xml:space="preserve">In conclusion, this</w:t>
      </w:r>
    </w:p>
    <w:p>
      <w:pPr>
        <w:pStyle w:val="BodyText"/>
      </w:pPr>
      <w:r>
        <w:t xml:space="preserve">Laboratory Technician Lab Report affirms that our laboratory remains a pillar of diagnostic excellence in</w:t>
      </w:r>
    </w:p>
    <w:p>
      <w:pPr>
        <w:pStyle w:val="BodyText"/>
      </w:pPr>
      <w:r>
        <w:t xml:space="preserve">Miami. The dedication and skill of our</w:t>
      </w:r>
    </w:p>
    <w:p>
      <w:pPr>
        <w:pStyle w:val="BodyText"/>
      </w:pPr>
      <w:r>
        <w:t xml:space="preserve">Laboratory Technician staff have ensured that we meet the rigorous demands of healthcare delivery in the</w:t>
      </w:r>
    </w:p>
    <w:p>
      <w:pPr>
        <w:pStyle w:val="BodyText"/>
      </w:pPr>
      <w:r>
        <w:t xml:space="preserve">United States Miami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Miami Operations</dc:title>
  <dc:creator/>
  <dc:language>en</dc:language>
  <cp:keywords/>
  <dcterms:created xsi:type="dcterms:W3CDTF">2026-07-29T15:06:21Z</dcterms:created>
  <dcterms:modified xsi:type="dcterms:W3CDTF">2026-07-29T15:06:21Z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