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Consultation</w:t>
      </w:r>
      <w:r>
        <w:t xml:space="preserve"> </w:t>
      </w:r>
      <w:r>
        <w:t xml:space="preserve">Analysis</w:t>
      </w:r>
      <w:r>
        <w:t xml:space="preserve"> </w:t>
      </w:r>
      <w:r>
        <w:t xml:space="preserve">-</w:t>
      </w:r>
      <w:r>
        <w:t xml:space="preserve"> </w:t>
      </w:r>
      <w:r>
        <w:t xml:space="preserve">Brisbane,</w:t>
      </w:r>
      <w:r>
        <w:t xml:space="preserve"> </w:t>
      </w:r>
      <w:r>
        <w:t xml:space="preserve">Australia</w:t>
      </w:r>
    </w:p>
    <w:p>
      <w:pPr>
        <w:pStyle w:val="FirstParagraph"/>
      </w:pPr>
      <w:r>
        <w:t xml:space="preserve">```html</w:t>
      </w:r>
    </w:p>
    <w:bookmarkStart w:id="20" w:name="laboratory-of-legal-practice-report"/>
    <w:p>
      <w:pPr>
        <w:pStyle w:val="Heading1"/>
      </w:pPr>
      <w:r>
        <w:t xml:space="preserve">LABORATORY OF LEGAL PRACTICE REPORT</w:t>
      </w:r>
    </w:p>
    <w:p>
      <w:pPr>
        <w:pStyle w:val="FirstParagraph"/>
      </w:pPr>
      <w:r>
        <w:br/>
      </w:r>
      <w:r>
        <w:br/>
      </w:r>
      <w:r>
        <w:rPr>
          <w:iCs/>
          <w:i/>
          <w:bCs/>
          <w:b/>
        </w:rPr>
        <w:t xml:space="preserve">Jurisdiction:</w:t>
      </w:r>
      <w:r>
        <w:t xml:space="preserve">Australia Brisbane</w:t>
      </w:r>
      <w:r>
        <w:br/>
      </w:r>
      <w:r>
        <w:rPr>
          <w:iCs/>
          <w:i/>
          <w:bCs/>
          <w:b/>
        </w:rPr>
        <w:t xml:space="preserve">Subject of Experimentation:</w:t>
      </w:r>
      <w:r>
        <w:t xml:space="preserve"> </w:t>
      </w:r>
      <w:r>
        <w:t xml:space="preserve">The Australian Lawyer</w:t>
      </w:r>
      <w:r>
        <w:br/>
      </w:r>
    </w:p>
    <w:bookmarkEnd w:id="20"/>
    <w:bookmarkStart w:id="28" w:name="lab-report"/>
    <w:p>
      <w:pPr>
        <w:pStyle w:val="Heading2"/>
      </w:pPr>
      <w:r>
        <w:t xml:space="preserve">LAB REPORT</w:t>
      </w:r>
    </w:p>
    <w:p>
      <w:pPr>
        <w:pStyle w:val="FirstParagraph"/>
      </w:pPr>
      <w:r>
        <w:t xml:space="preserve">The following laboratory report provides a comprehensive and detailed analysis of the modern practice, procedural requirements, ethical obligations, and market dynamics governing a</w:t>
      </w:r>
      <w:r>
        <w:t xml:space="preserve"> </w:t>
      </w:r>
      <w:r>
        <w:rPr>
          <w:u w:val="single"/>
          <w:bCs/>
          <w:b/>
        </w:rPr>
        <w:t xml:space="preserve">LAWYER</w:t>
      </w:r>
      <w:r>
        <w:t xml:space="preserve"> </w:t>
      </w:r>
      <w:r>
        <w:t xml:space="preserve">operating within the unique socio-legal landscape of</w:t>
      </w:r>
      <w:r>
        <w:t xml:space="preserve"> </w:t>
      </w:r>
      <w:r>
        <w:rPr>
          <w:iCs/>
          <w:i/>
          <w:bCs/>
          <w:b/>
        </w:rPr>
        <w:t xml:space="preserve">Australia Brisbane</w:t>
      </w:r>
      <w:r>
        <w:t xml:space="preserve">. This document serves as an exploratory framework for understanding how legal practitioners navigate the complexities of Queensland law while adhering to federal mandates. By examining these variables, we aim to provide a clear and detailed blueprint for both emerging professionals and clients seeking clarity on the role of a</w:t>
      </w:r>
      <w:r>
        <w:t xml:space="preserve"> </w:t>
      </w:r>
      <w:r>
        <w:rPr>
          <w:u w:val="single"/>
          <w:bCs/>
          <w:b/>
        </w:rPr>
        <w:t xml:space="preserve">LAWYER</w:t>
      </w:r>
      <w:r>
        <w:t xml:space="preserve"> </w:t>
      </w:r>
      <w:r>
        <w:t xml:space="preserve">in this specific jurisdiction.</w:t>
      </w:r>
    </w:p>
    <w:bookmarkStart w:id="21" w:name="lab-report"/>
    <w:p>
      <w:pPr>
        <w:pStyle w:val="Heading3"/>
      </w:pPr>
      <w:r>
        <w:t xml:space="preserve">1.0 INTRODUCTION AND PURPOSE</w:t>
      </w:r>
    </w:p>
    <w:p>
      <w:pPr>
        <w:pStyle w:val="FirstParagraph"/>
      </w:pPr>
      <w:r>
        <w:t xml:space="preserve">The purpose of this laboratory report is to dissect the operational mechanics, responsibilities, and contextual nuances required for a</w:t>
      </w:r>
      <w:r>
        <w:t xml:space="preserve"> </w:t>
      </w:r>
      <w:r>
        <w:rPr>
          <w:u w:val="single"/>
          <w:bCs/>
          <w:b/>
        </w:rPr>
        <w:t xml:space="preserve">LAWYER</w:t>
      </w:r>
      <w:r>
        <w:t xml:space="preserve"> </w:t>
      </w:r>
      <w:r>
        <w:t xml:space="preserve">functioning within the legal ecosystem of</w:t>
      </w:r>
      <w:r>
        <w:t xml:space="preserve"> </w:t>
      </w:r>
      <w:r>
        <w:rPr>
          <w:iCs/>
          <w:i/>
          <w:bCs/>
          <w:b/>
        </w:rPr>
        <w:t xml:space="preserve">Australia Brisbane</w:t>
      </w:r>
      <w:r>
        <w:t xml:space="preserve">. Queensland operates under a distinct legal framework that blends historical British common law traditions with modern statutory regulations. Consequently, any analysis regarding professional legal services in this region must account for local court hierarchies, specific state legislation, and the overarching federal laws applicable across all Australian states.</w:t>
      </w:r>
    </w:p>
    <w:bookmarkEnd w:id="21"/>
    <w:bookmarkStart w:id="22" w:name="lab-report"/>
    <w:p>
      <w:pPr>
        <w:pStyle w:val="Heading3"/>
      </w:pPr>
      <w:r>
        <w:t xml:space="preserve">2.0 THEORETICAL FRAMEWORK AND JURISDICTIONAL CONTEXT</w:t>
      </w:r>
    </w:p>
    <w:p>
      <w:pPr>
        <w:pStyle w:val="FirstParagraph"/>
      </w:pPr>
      <w:r>
        <w:t xml:space="preserve">To fully understand the scope of a</w:t>
      </w:r>
      <w:r>
        <w:t xml:space="preserve"> </w:t>
      </w:r>
      <w:r>
        <w:rPr>
          <w:u w:val="single"/>
          <w:bCs/>
          <w:b/>
        </w:rPr>
        <w:t xml:space="preserve">LAWYER</w:t>
      </w:r>
      <w:r>
        <w:t xml:space="preserve">, it is imperative to first establish the geographical and legal parameters of</w:t>
      </w:r>
      <w:r>
        <w:t xml:space="preserve"> </w:t>
      </w:r>
      <w:r>
        <w:rPr>
          <w:iCs/>
          <w:i/>
          <w:bCs/>
          <w:b/>
        </w:rPr>
        <w:t xml:space="preserve">Australia Brisbane</w:t>
      </w:r>
      <w:r>
        <w:t xml:space="preserve">. Brisbane serves as the capital city and primary judicial hub for Queensland. However, its legal relevance extends beyond state borders due to its proximity to federal courts. A lawyer practicing here must possess dual competency: mastery of Queensland-specific acts (such as the</w:t>
      </w:r>
      <w:r>
        <w:t xml:space="preserve"> </w:t>
      </w:r>
      <w:r>
        <w:rPr>
          <w:iCs/>
          <w:i/>
        </w:rPr>
        <w:t xml:space="preserve">Queensland Civil and Administrative Tribunal Act 2009</w:t>
      </w:r>
      <w:r>
        <w:t xml:space="preserve">) alongside an acute understanding of High Court precedents.</w:t>
      </w:r>
    </w:p>
    <w:p>
      <w:pPr>
        <w:pStyle w:val="BodyText"/>
      </w:pPr>
      <w:r>
        <w:t xml:space="preserve">This jurisdictional duality means that a</w:t>
      </w:r>
      <w:r>
        <w:t xml:space="preserve"> </w:t>
      </w:r>
      <w:r>
        <w:rPr>
          <w:u w:val="single"/>
          <w:bCs/>
          <w:b/>
        </w:rPr>
        <w:t xml:space="preserve">LAWYER</w:t>
      </w:r>
      <w:r>
        <w:t xml:space="preserve"> </w:t>
      </w:r>
      <w:r>
        <w:t xml:space="preserve">in Brisbane frequently interacts with both state supreme courts and federal circuitry. For instance, in commercial litigation involving interstate corporations based out of the Brisbane CBD, the legal arguments presented will inevitably cross-reference Commonwealth legislation. Therefore, this lab report posits that the modern Australian lawyer cannot be compartmentalized; their practice is inherently interconnected with broader national frameworks.</w:t>
      </w:r>
    </w:p>
    <w:bookmarkEnd w:id="22"/>
    <w:bookmarkStart w:id="23" w:name="lab-report"/>
    <w:p>
      <w:pPr>
        <w:pStyle w:val="Heading3"/>
      </w:pPr>
      <w:r>
        <w:t xml:space="preserve">3.0 METHODOLOGY OF LEGAL PRACTICE</w:t>
      </w:r>
    </w:p>
    <w:p>
      <w:pPr>
        <w:pStyle w:val="FirstParagraph"/>
      </w:pPr>
      <w:r>
        <w:t xml:space="preserve">In observing the workflow of a</w:t>
      </w:r>
      <w:r>
        <w:t xml:space="preserve"> </w:t>
      </w:r>
      <w:r>
        <w:rPr>
          <w:u w:val="single"/>
          <w:bCs/>
          <w:b/>
        </w:rPr>
        <w:t xml:space="preserve">LAWYER</w:t>
      </w:r>
      <w:r>
        <w:t xml:space="preserve">, we identify several distinct operational phases. First, the intake and consultation phase in</w:t>
      </w:r>
      <w:r>
        <w:t xml:space="preserve"> </w:t>
      </w:r>
      <w:r>
        <w:rPr>
          <w:iCs/>
          <w:i/>
          <w:bCs/>
          <w:b/>
        </w:rPr>
        <w:t xml:space="preserve">Australia Brisbane</w:t>
      </w:r>
      <w:r>
        <w:t xml:space="preserve"> </w:t>
      </w:r>
      <w:r>
        <w:t xml:space="preserve">requires stringent adherence to client confidentiality protocols governed by professional conduct rules. Second, the research and drafting phase involves navigating Queensland’s unique property laws—particularly relevant given Brisbane’s booming real estate market—and family law provisions.</w:t>
      </w:r>
    </w:p>
    <w:p>
      <w:pPr>
        <w:pStyle w:val="BodyText"/>
      </w:pPr>
      <w:r>
        <w:t xml:space="preserve">The methodology utilized by a competent lawyer includes rigorous document review, evidence gathering, and strategic planning. In criminal defense scenarios within the Brisbane Magistrates' Courts or District Courts, a lawyer must meticulously prepare for cross-examinations that align with Queensland Police Service protocols. In civil matters, lawyers frequently engage in pre-trial mediation processes mandated by local court rules to alleviate the burden on judicial resources.</w:t>
      </w:r>
    </w:p>
    <w:bookmarkEnd w:id="23"/>
    <w:bookmarkStart w:id="24" w:name="lab-report"/>
    <w:p>
      <w:pPr>
        <w:pStyle w:val="Heading3"/>
      </w:pPr>
      <w:r>
        <w:t xml:space="preserve">4.0 ANALYSIS OF ETHICAL AND REGULATORY STANDARDS</w:t>
      </w:r>
    </w:p>
    <w:p>
      <w:pPr>
        <w:pStyle w:val="FirstParagraph"/>
      </w:pPr>
      <w:r>
        <w:t xml:space="preserve">Ethical conduct forms the bedrock of any lawyer's practice. In</w:t>
      </w:r>
      <w:r>
        <w:t xml:space="preserve"> </w:t>
      </w:r>
      <w:r>
        <w:rPr>
          <w:iCs/>
          <w:i/>
          <w:bCs/>
          <w:b/>
        </w:rPr>
        <w:t xml:space="preserve">Australia Brisbane</w:t>
      </w:r>
      <w:r>
        <w:t xml:space="preserve">, legal practitioners are regulated by the Legal Profession Act 2007 (Qld). This legislation dictates how a</w:t>
      </w:r>
      <w:r>
        <w:t xml:space="preserve"> </w:t>
      </w:r>
      <w:r>
        <w:rPr>
          <w:u w:val="single"/>
          <w:bCs/>
          <w:b/>
        </w:rPr>
        <w:t xml:space="preserve">LAWYER</w:t>
      </w:r>
      <w:r>
        <w:t xml:space="preserve"> </w:t>
      </w:r>
      <w:r>
        <w:t xml:space="preserve">must behave, emphasizing honesty, integrity, and professional responsibility. A breach of these standards can result in severe disciplinary action, including disbarment.</w:t>
      </w:r>
    </w:p>
    <w:p>
      <w:pPr>
        <w:pStyle w:val="BodyText"/>
      </w:pPr>
      <w:r>
        <w:t xml:space="preserve">This laboratory report highlights that transparency in billing is a critical component of the lawyer-client relationship. Clients must receive clear estimates regarding costs upfront. Furthermore,</w:t>
      </w:r>
      <w:r>
        <w:rPr>
          <w:iCs/>
          <w:i/>
          <w:bCs/>
          <w:b/>
        </w:rPr>
        <w:t xml:space="preserve">Australia Brisbane</w:t>
      </w:r>
      <w:r>
        <w:t xml:space="preserve"> </w:t>
      </w:r>
      <w:r>
        <w:t xml:space="preserve">has seen significant shifts towards digital compliance and data protection (under the Privacy Act 1988), meaning lawyers must utilize secure communication channels when handling sensitive client information.</w:t>
      </w:r>
    </w:p>
    <w:bookmarkEnd w:id="24"/>
    <w:bookmarkStart w:id="25" w:name="lab-report"/>
    <w:p>
      <w:pPr>
        <w:pStyle w:val="Heading3"/>
      </w:pPr>
      <w:r>
        <w:t xml:space="preserve">5.0 OBSERVATION OF MARKET DYNAMICS IN QUEENSLAND</w:t>
      </w:r>
    </w:p>
    <w:p>
      <w:pPr>
        <w:pStyle w:val="FirstParagraph"/>
      </w:pPr>
      <w:r>
        <w:t xml:space="preserve">The legal market in</w:t>
      </w:r>
      <w:r>
        <w:t xml:space="preserve"> </w:t>
      </w:r>
      <w:r>
        <w:rPr>
          <w:iCs/>
          <w:i/>
          <w:bCs/>
          <w:b/>
        </w:rPr>
        <w:t xml:space="preserve">Australia Brisbane</w:t>
      </w:r>
      <w:r>
        <w:t xml:space="preserve"> </w:t>
      </w:r>
      <w:r>
        <w:t xml:space="preserve">is highly competitive yet specialized. Major commercial law firms dominate the financial district, handling complex corporate transactions, while smaller boutique practices focus on niche areas such as environmental law (crucial for local infrastructure projects) or indigenous land rights.</w:t>
      </w:r>
    </w:p>
    <w:p>
      <w:pPr>
        <w:pStyle w:val="BodyText"/>
      </w:pPr>
      <w:r>
        <w:t xml:space="preserve">An observation of current trends indicates a growing demand for lawyers proficient in technology-assisted legal services. Automation is streamlining routine tasks like lease drafting and basic wills preparation. However, the human element remains irreplaceable in high-stakes litigation and emotional family disputes. A</w:t>
      </w:r>
      <w:r>
        <w:t xml:space="preserve"> </w:t>
      </w:r>
      <w:r>
        <w:rPr>
          <w:u w:val="single"/>
          <w:bCs/>
          <w:b/>
        </w:rPr>
        <w:t xml:space="preserve">LAWYER</w:t>
      </w:r>
      <w:r>
        <w:t xml:space="preserve"> </w:t>
      </w:r>
      <w:r>
        <w:t xml:space="preserve">today must balance technical efficiency with empathetic client management.</w:t>
      </w:r>
    </w:p>
    <w:bookmarkEnd w:id="25"/>
    <w:bookmarkStart w:id="26" w:name="lab-report"/>
    <w:p>
      <w:pPr>
        <w:pStyle w:val="Heading3"/>
      </w:pPr>
      <w:r>
        <w:t xml:space="preserve">6.0 CASE STUDIES AND EMPIRICAL EVIDENCE</w:t>
      </w:r>
    </w:p>
    <w:p>
      <w:pPr>
        <w:pStyle w:val="FirstParagraph"/>
      </w:pPr>
      <w:r>
        <w:t xml:space="preserve">To ground this analysis, we reference hypothetical scenarios typical to</w:t>
      </w:r>
      <w:r>
        <w:t xml:space="preserve"> </w:t>
      </w:r>
      <w:r>
        <w:rPr>
          <w:iCs/>
          <w:i/>
          <w:bCs/>
          <w:b/>
        </w:rPr>
        <w:t xml:space="preserve">Australia Brisbane</w:t>
      </w:r>
      <w:r>
        <w:t xml:space="preserve">. Consider a residential property dispute involving a developer in the South Bank precinct. The resolution required a lawyer to interpret nuanced zoning laws while negotiating with neighboring property owners. Another case involved an employment tribunal where unfair dismissal claims were adjudicated under Queensland’s industrial relations framework.</w:t>
      </w:r>
    </w:p>
    <w:p>
      <w:pPr>
        <w:pStyle w:val="BodyText"/>
      </w:pPr>
      <w:r>
        <w:t xml:space="preserve">These examples demonstrate the practical application of legal theory by a</w:t>
      </w:r>
    </w:p>
    <w:p>
      <w:pPr>
        <w:pStyle w:val="BodyText"/>
      </w:pPr>
      <w:r>
        <w:rPr>
          <w:u w:val="single"/>
        </w:rPr>
        <w:t xml:space="preserve">LAWYER</w:t>
      </w:r>
      <w:r>
        <w:t xml:space="preserve">. They illustrate that success in this environment depends not just on knowing the law, but on understanding local council regulations, community expectations, and economic realities specific to Queensland's capital city.</w:t>
      </w:r>
    </w:p>
    <w:bookmarkEnd w:id="26"/>
    <w:bookmarkStart w:id="27" w:name="lab-report"/>
    <w:p>
      <w:pPr>
        <w:pStyle w:val="Heading3"/>
      </w:pPr>
      <w:r>
        <w:t xml:space="preserve">7.0 DISCUSSION AND CONCLUSION</w:t>
      </w:r>
    </w:p>
    <w:p>
      <w:pPr>
        <w:pStyle w:val="FirstParagraph"/>
      </w:pPr>
      <w:r>
        <w:t xml:space="preserve">In conclusion, this lab report has thoroughly explored the multifaceted role of a</w:t>
      </w:r>
      <w:r>
        <w:t xml:space="preserve"> </w:t>
      </w:r>
      <w:r>
        <w:rPr>
          <w:u w:val="single"/>
          <w:bCs/>
          <w:b/>
        </w:rPr>
        <w:t xml:space="preserve">LAWYER</w:t>
      </w:r>
      <w:r>
        <w:t xml:space="preserve"> </w:t>
      </w:r>
      <w:r>
        <w:t xml:space="preserve">operating within the dynamic and legally complex environment of</w:t>
      </w:r>
      <w:r>
        <w:t xml:space="preserve"> </w:t>
      </w:r>
      <w:r>
        <w:rPr>
          <w:iCs/>
          <w:i/>
          <w:bCs/>
          <w:b/>
        </w:rPr>
        <w:t xml:space="preserve">Australia Brisbane</w:t>
      </w:r>
      <w:r>
        <w:t xml:space="preserve">. The findings indicate that effective legal practice in this region requires a deep understanding of both state-specific statutes and overarching federal laws, coupled with strict adherence to ethical guidelines.</w:t>
      </w:r>
    </w:p>
    <w:p>
      <w:pPr>
        <w:pStyle w:val="BodyText"/>
      </w:pPr>
      <w:r>
        <w:t xml:space="preserve">The evolution of the legal profession in Queensland shows a clear trajectory towards greater technological integration and specialization. As such, any individual aspiring to serve as a</w:t>
      </w:r>
      <w:r>
        <w:t xml:space="preserve"> </w:t>
      </w:r>
      <w:r>
        <w:rPr>
          <w:u w:val="single"/>
          <w:bCs/>
          <w:b/>
        </w:rPr>
        <w:t xml:space="preserve">LAWYER</w:t>
      </w:r>
      <w:r>
        <w:t xml:space="preserve"> </w:t>
      </w:r>
      <w:r>
        <w:t xml:space="preserve">in this region must commit to continuous professional development. This includes staying updated on recent amendments passed by the Queensland Parliament and adapting to changing judicial interpretations set forth by local courts.</w:t>
      </w:r>
    </w:p>
    <w:p>
      <w:pPr>
        <w:pStyle w:val="BodyText"/>
      </w:pPr>
      <w:r>
        <w:t xml:space="preserve">Ultimately, the lawyer serves as a vital bridge between the citizen and justice in</w:t>
      </w:r>
      <w:r>
        <w:t xml:space="preserve"> </w:t>
      </w:r>
      <w:r>
        <w:rPr>
          <w:iCs/>
          <w:i/>
          <w:bCs/>
          <w:b/>
        </w:rPr>
        <w:t xml:space="preserve">Australia Brisbane</w:t>
      </w:r>
      <w:r>
        <w:t xml:space="preserve">. By upholding high standards of integrity and competence, they ensure that the rule of law remains accessible to all members of society. This laboratory report affirms that while legal frameworks provide structure, it is the human expertise applied by a skilled lawyer that truly delivers equitable outcomes.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Consultation Analysis - Brisbane, Australia</dc:title>
  <dc:creator/>
  <dc:language>en</dc:language>
  <cp:keywords/>
  <dcterms:created xsi:type="dcterms:W3CDTF">2026-07-29T15:05:35Z</dcterms:created>
  <dcterms:modified xsi:type="dcterms:W3CDTF">2026-07-29T15:05:35Z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