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Practitioner</w:t>
      </w:r>
      <w:r>
        <w:t xml:space="preserve"> </w:t>
      </w:r>
      <w:r>
        <w:t xml:space="preserve">Proficiency</w:t>
      </w:r>
      <w:r>
        <w:t xml:space="preserve"> </w:t>
      </w:r>
      <w:r>
        <w:t xml:space="preserve">and</w:t>
      </w:r>
      <w:r>
        <w:t xml:space="preserve"> </w:t>
      </w:r>
      <w:r>
        <w:t xml:space="preserve">Ethical</w:t>
      </w:r>
      <w:r>
        <w:t xml:space="preserve"> </w:t>
      </w:r>
      <w:r>
        <w:t xml:space="preserve">Compliance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0" w:name="laboratory-report"/>
    <w:p>
      <w:pPr>
        <w:pStyle w:val="Heading1"/>
      </w:pPr>
      <w:r>
        <w:t xml:space="preserve">LABORATORY REPORT</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The Victorian Legal Services Board (VLSB) Review Committee</w:t>
      </w:r>
      <w:r>
        <w:br/>
      </w:r>
      <w:r>
        <w:rPr>
          <w:bCs/>
          <w:b/>
        </w:rPr>
        <w:t xml:space="preserve">From:</w:t>
      </w:r>
      <w:r>
        <w:t xml:space="preserve"> </w:t>
      </w:r>
      <w:r>
        <w:t xml:space="preserve">Senior Legal Compliance Analyst</w:t>
      </w:r>
      <w:r>
        <w:br/>
      </w:r>
      <w:r>
        <w:rPr>
          <w:bCs/>
          <w:b/>
        </w:rPr>
        <w:t xml:space="preserve">Subject:</w:t>
      </w:r>
      <w:r>
        <w:t xml:space="preserve">Efficacy Analysis of the</w:t>
      </w:r>
      <w:r>
        <w:t xml:space="preserve"> </w:t>
      </w:r>
      <w:r>
        <w:rPr>
          <w:iCs/>
          <w:i/>
        </w:rPr>
        <w:t xml:space="preserve">LAWYER</w:t>
      </w:r>
      <w:r>
        <w:t xml:space="preserve">, a legal practitioner, operating within the jurisdiction of</w:t>
      </w:r>
      <w:r>
        <w:t xml:space="preserve"> </w:t>
      </w:r>
      <w:r>
        <w:rPr>
          <w:iCs/>
          <w:i/>
        </w:rPr>
        <w:t xml:space="preserve">Australia Melbourne</w:t>
      </w:r>
    </w:p>
    <w:p>
      <w:r>
        <w:pict>
          <v:rect style="width:0;height:1.5pt" o:hralign="center" o:hrstd="t" o:hr="t"/>
        </w:pict>
      </w:r>
    </w:p>
    <w:bookmarkStart w:id="20" w:name="abstract"/>
    <w:p>
      <w:pPr>
        <w:pStyle w:val="Heading2"/>
      </w:pPr>
      <w:r>
        <w:t xml:space="preserve">1.0 Abstract</w:t>
      </w:r>
    </w:p>
    <w:p>
      <w:pPr>
        <w:pStyle w:val="FirstParagraph"/>
      </w:pPr>
      <w:r>
        <w:br/>
      </w:r>
      <w:r>
        <w:t xml:space="preserve">The purpose of this laboratory report is to provide a comprehensive audit and analysis regarding the operational standards, ethical compliance, and client advocacy metrics associated with the modern</w:t>
      </w:r>
      <w:r>
        <w:t xml:space="preserve"> </w:t>
      </w:r>
      <w:r>
        <w:rPr>
          <w:bCs/>
          <w:b/>
        </w:rPr>
        <w:t xml:space="preserve">LAWYER</w:t>
      </w:r>
      <w:r>
        <w:t xml:space="preserve">. Specifically, this investigation focuses on practitioners operating within the unique legal ecosystem of</w:t>
      </w:r>
      <w:r>
        <w:t xml:space="preserve"> </w:t>
      </w:r>
      <w:r>
        <w:rPr>
          <w:bCs/>
          <w:b/>
        </w:rPr>
        <w:t xml:space="preserve">Australia Melbourne</w:t>
      </w:r>
      <w:r>
        <w:t xml:space="preserve"> </w:t>
      </w:r>
      <w:r>
        <w:t xml:space="preserve">as part of Victoria’s state jurisdiction. This report evaluates how effectively a licensed solicitor or barrister in</w:t>
      </w:r>
      <w:r>
        <w:t xml:space="preserve"> </w:t>
      </w:r>
      <w:r>
        <w:rPr>
          <w:iCs/>
          <w:i/>
        </w:rPr>
        <w:t xml:space="preserve">Australia Melbourne</w:t>
      </w:r>
      <w:r>
        <w:t xml:space="preserve"> </w:t>
      </w:r>
      <w:r>
        <w:t xml:space="preserve">adheres to the Victorian Legal Profession Uniform Law, ensuring that high-quality legal representation is maintained while upholding strict ethical standards. The findings suggest that while the</w:t>
      </w:r>
      <w:r>
        <w:t xml:space="preserve"> </w:t>
      </w:r>
      <w:r>
        <w:rPr>
          <w:bCs/>
          <w:b/>
        </w:rPr>
        <w:t xml:space="preserve">LAWYER</w:t>
      </w:r>
      <w:r>
        <w:t xml:space="preserve"> </w:t>
      </w:r>
      <w:r>
        <w:t xml:space="preserve">profession in</w:t>
      </w:r>
      <w:r>
        <w:t xml:space="preserve"> </w:t>
      </w:r>
      <w:r>
        <w:rPr>
          <w:bCs/>
          <w:b/>
        </w:rPr>
        <w:t xml:space="preserve">Australia Melbourne</w:t>
      </w:r>
      <w:r>
        <w:t xml:space="preserve"> </w:t>
      </w:r>
      <w:r>
        <w:t xml:space="preserve">is robust, continuous adaptation to evolving technological and regulatory landscapes remains critical for optimal performance.</w:t>
      </w:r>
    </w:p>
    <w:p>
      <w:pPr>
        <w:pStyle w:val="BodyText"/>
      </w:pPr>
      <w:r>
        <w:br/>
      </w:r>
    </w:p>
    <w:bookmarkEnd w:id="20"/>
    <w:bookmarkStart w:id="21" w:name="introduction"/>
    <w:p>
      <w:pPr>
        <w:pStyle w:val="Heading2"/>
      </w:pPr>
      <w:r>
        <w:t xml:space="preserve">2.0 Introduction</w:t>
      </w:r>
    </w:p>
    <w:p>
      <w:pPr>
        <w:pStyle w:val="FirstParagraph"/>
      </w:pPr>
      <w:r>
        <w:br/>
      </w:r>
      <w:r>
        <w:t xml:space="preserve">In the legal landscape of</w:t>
      </w:r>
      <w:r>
        <w:t xml:space="preserve"> </w:t>
      </w:r>
      <w:r>
        <w:rPr>
          <w:iCs/>
          <w:i/>
        </w:rPr>
        <w:t xml:space="preserve">Australia Melbourne</w:t>
      </w:r>
      <w:r>
        <w:t xml:space="preserve">, the role of the</w:t>
      </w:r>
      <w:r>
        <w:t xml:space="preserve"> </w:t>
      </w:r>
      <w:r>
        <w:rPr>
          <w:bCs/>
          <w:b/>
        </w:rPr>
        <w:t xml:space="preserve">LAWYER</w:t>
      </w:r>
      <w:r>
        <w:t xml:space="preserve"> </w:t>
      </w:r>
      <w:r>
        <w:t xml:space="preserve">extends beyond traditional courtroom advocacy; it encompasses a complex web of advisory services, regulatory compliance, and dispute resolution mechanisms. This laboratory report aims to dissect these functions through a systematic evaluation framework. The city of Melbourne serves as a critical hub for legal innovation in Australia, making it an ideal location to study the efficacy of legal practitioners.</w:t>
      </w:r>
    </w:p>
    <w:p>
      <w:pPr>
        <w:pStyle w:val="BodyText"/>
      </w:pPr>
      <w:r>
        <w:br/>
      </w:r>
      <w:r>
        <w:t xml:space="preserve">The primary objective is to determine if current</w:t>
      </w:r>
      <w:r>
        <w:t xml:space="preserve"> </w:t>
      </w:r>
      <w:r>
        <w:rPr>
          <w:bCs/>
          <w:b/>
        </w:rPr>
        <w:t xml:space="preserve">LAWYER</w:t>
      </w:r>
      <w:r>
        <w:t xml:space="preserve"> </w:t>
      </w:r>
      <w:r>
        <w:t xml:space="preserve">protocols in</w:t>
      </w:r>
      <w:r>
        <w:t xml:space="preserve"> </w:t>
      </w:r>
      <w:r>
        <w:rPr>
          <w:iCs/>
          <w:i/>
        </w:rPr>
        <w:t xml:space="preserve">Australia Melbourne</w:t>
      </w:r>
      <w:r>
        <w:t xml:space="preserve"> </w:t>
      </w:r>
      <w:r>
        <w:t xml:space="preserve">sufficiently protect client interests and maintain judicial integrity. By analyzing case studies, regulatory adherence, and operational efficiency, this report seeks to highlight best practices for any legal professional operating under the Victorian jurisdiction.</w:t>
      </w:r>
    </w:p>
    <w:p>
      <w:pPr>
        <w:pStyle w:val="BodyText"/>
      </w:pPr>
      <w:r>
        <w:br/>
      </w:r>
    </w:p>
    <w:bookmarkEnd w:id="21"/>
    <w:bookmarkStart w:id="22" w:name="methodology"/>
    <w:p>
      <w:pPr>
        <w:pStyle w:val="Heading2"/>
      </w:pPr>
      <w:r>
        <w:t xml:space="preserve">3.0 Methodology</w:t>
      </w:r>
    </w:p>
    <w:p>
      <w:pPr>
        <w:pStyle w:val="FirstParagraph"/>
      </w:pPr>
      <w:r>
        <w:br/>
      </w:r>
      <w:r>
        <w:t xml:space="preserve">To ensure a rigorous analysis of the</w:t>
      </w:r>
      <w:r>
        <w:t xml:space="preserve"> </w:t>
      </w:r>
      <w:r>
        <w:rPr>
          <w:bCs/>
          <w:b/>
        </w:rPr>
        <w:t xml:space="preserve">LAWYER</w:t>
      </w:r>
      <w:r>
        <w:t xml:space="preserve"> </w:t>
      </w:r>
      <w:r>
        <w:t xml:space="preserve">within</w:t>
      </w:r>
      <w:r>
        <w:t xml:space="preserve"> </w:t>
      </w:r>
      <w:r>
        <w:rPr>
          <w:iCs/>
          <w:i/>
        </w:rPr>
        <w:t xml:space="preserve">Australia Melbourne</w:t>
      </w:r>
      <w:r>
        <w:t xml:space="preserve">, the following methods were employed during this laboratory-style assessment:</w:t>
      </w:r>
    </w:p>
    <w:p>
      <w:pPr>
        <w:pStyle w:val="BodyText"/>
      </w:pPr>
      <w:r>
        <w:br/>
      </w:r>
    </w:p>
    <w:p>
      <w:pPr>
        <w:numPr>
          <w:ilvl w:val="0"/>
          <w:numId w:val="1001"/>
        </w:numPr>
        <w:pStyle w:val="Compact"/>
      </w:pPr>
      <w:r>
        <w:rPr>
          <w:bCs/>
          <w:b/>
        </w:rPr>
        <w:t xml:space="preserve">Regulatory Review:</w:t>
      </w:r>
      <w:r>
        <w:t xml:space="preserve"> </w:t>
      </w:r>
      <w:r>
        <w:t xml:space="preserve">A comparative analysis of the Legal Profession Uniform Law (Victoria) against standard operational procedures utilized by mid-tier firms in Melbourne.</w:t>
      </w:r>
    </w:p>
    <w:p>
      <w:pPr>
        <w:numPr>
          <w:ilvl w:val="0"/>
          <w:numId w:val="1001"/>
        </w:numPr>
        <w:pStyle w:val="Compact"/>
      </w:pPr>
      <w:r>
        <w:t xml:space="preserve">Case Study Simulation:Australia Melbourne: Three hypothetical legal scenarios were tested to measure a typical</w:t>
      </w:r>
    </w:p>
    <w:p>
      <w:pPr>
        <w:numPr>
          <w:ilvl w:val="0"/>
          <w:numId w:val="1000"/>
        </w:numPr>
        <w:pStyle w:val="Compact"/>
      </w:pPr>
      <w:r>
        <w:t xml:space="preserve">LAWYER's response time, strategic planning, and ethical decision-making. These scenarios included a commercial property dispute common in the Melbourne CBD and a family law matter reflective of suburban Victoria.</w:t>
      </w:r>
    </w:p>
    <w:p>
      <w:pPr>
        <w:numPr>
          <w:ilvl w:val="0"/>
          <w:numId w:val="1001"/>
        </w:numPr>
        <w:pStyle w:val="Compact"/>
      </w:pPr>
      <w:r>
        <w:rPr>
          <w:bCs/>
          <w:b/>
        </w:rPr>
        <w:t xml:space="preserve">Ethical Audit:</w:t>
      </w:r>
      <w:r>
        <w:t xml:space="preserve"> </w:t>
      </w:r>
      <w:r>
        <w:t xml:space="preserve">An evaluation of conflict-of-interest checks and client confidentiality protocols as mandated by the Legal Services Board for</w:t>
      </w:r>
      <w:r>
        <w:t xml:space="preserve"> </w:t>
      </w:r>
      <w:r>
        <w:rPr>
          <w:iCs/>
          <w:i/>
        </w:rPr>
        <w:t xml:space="preserve">Australia Melbourne</w:t>
      </w:r>
      <w:r>
        <w:t xml:space="preserve">.</w:t>
      </w:r>
    </w:p>
    <w:p>
      <w:pPr>
        <w:pStyle w:val="FirstParagraph"/>
      </w:pPr>
      <w:r>
        <w:br/>
      </w:r>
    </w:p>
    <w:bookmarkEnd w:id="22"/>
    <w:bookmarkStart w:id="26" w:name="findings-and-results"/>
    <w:p>
      <w:pPr>
        <w:pStyle w:val="Heading2"/>
      </w:pPr>
      <w:r>
        <w:t xml:space="preserve">4.0 Findings and Results</w:t>
      </w:r>
    </w:p>
    <w:p>
      <w:pPr>
        <w:pStyle w:val="FirstParagraph"/>
      </w:pPr>
      <w:r>
        <w:br/>
      </w:r>
      <w:r>
        <w:t xml:space="preserve">The examination of the</w:t>
      </w:r>
      <w:r>
        <w:t xml:space="preserve"> </w:t>
      </w:r>
      <w:r>
        <w:rPr>
          <w:bCs/>
          <w:b/>
        </w:rPr>
        <w:t xml:space="preserve">LAWYER</w:t>
      </w:r>
      <w:r>
        <w:t xml:space="preserve">, specifically regarding their operation within</w:t>
      </w:r>
      <w:r>
        <w:t xml:space="preserve"> </w:t>
      </w:r>
      <w:r>
        <w:rPr>
          <w:iCs/>
          <w:i/>
        </w:rPr>
        <w:t xml:space="preserve">Australia Melbourne</w:t>
      </w:r>
      <w:r>
        <w:t xml:space="preserve">, yielded several significant findings.</w:t>
      </w:r>
    </w:p>
    <w:p>
      <w:pPr>
        <w:pStyle w:val="BodyText"/>
      </w:pPr>
      <w:r>
        <w:br/>
      </w:r>
    </w:p>
    <w:bookmarkStart w:id="23" w:name="X4be3413b5f0528064cff443a42afc9339bbe9e1"/>
    <w:p>
      <w:pPr>
        <w:pStyle w:val="Heading3"/>
      </w:pPr>
      <w:r>
        <w:t xml:space="preserve">4.1 Regulatory Compliance and Jurisdictional Specificity</w:t>
      </w:r>
    </w:p>
    <w:p>
      <w:pPr>
        <w:pStyle w:val="FirstParagraph"/>
      </w:pPr>
      <w:r>
        <w:br/>
      </w:r>
      <w:r>
        <w:t xml:space="preserve">It was observed that a competent</w:t>
      </w:r>
      <w:r>
        <w:t xml:space="preserve"> </w:t>
      </w:r>
      <w:r>
        <w:rPr>
          <w:bCs/>
          <w:b/>
        </w:rPr>
        <w:t xml:space="preserve">LAWYER</w:t>
      </w:r>
      <w:r>
        <w:t xml:space="preserve"> </w:t>
      </w:r>
      <w:r>
        <w:t xml:space="preserve">in</w:t>
      </w:r>
      <w:r>
        <w:t xml:space="preserve"> </w:t>
      </w:r>
      <w:r>
        <w:rPr>
          <w:iCs/>
          <w:i/>
        </w:rPr>
        <w:t xml:space="preserve">Australia Melbourne</w:t>
      </w:r>
      <w:r>
        <w:t xml:space="preserve"> </w:t>
      </w:r>
      <w:r>
        <w:t xml:space="preserve">must possess a distinct understanding of state-specific statutes, which differ from federal laws. The laboratory tests confirmed that failure to adhere strictly to Victorian regulations—such as the *Wrongs Act 1958* (Vic) or specific land titles legislation—resulted in critical procedural failures during simulations. Therefore, jurisdictional specialization is not optional but a mandatory requirement for any</w:t>
      </w:r>
      <w:r>
        <w:t xml:space="preserve"> </w:t>
      </w:r>
      <w:r>
        <w:rPr>
          <w:bCs/>
          <w:b/>
        </w:rPr>
        <w:t xml:space="preserve">LAWYER</w:t>
      </w:r>
      <w:r>
        <w:t xml:space="preserve"> </w:t>
      </w:r>
      <w:r>
        <w:t xml:space="preserve">aiming to succeed in</w:t>
      </w:r>
      <w:r>
        <w:t xml:space="preserve"> </w:t>
      </w:r>
      <w:r>
        <w:rPr>
          <w:iCs/>
          <w:i/>
        </w:rPr>
        <w:t xml:space="preserve">Australia Melbourne</w:t>
      </w:r>
      <w:r>
        <w:t xml:space="preserve">.</w:t>
      </w:r>
    </w:p>
    <w:p>
      <w:pPr>
        <w:pStyle w:val="BodyText"/>
      </w:pPr>
      <w:r>
        <w:br/>
      </w:r>
    </w:p>
    <w:bookmarkEnd w:id="23"/>
    <w:bookmarkStart w:id="24" w:name="ethical-adherence-and-client-trust"/>
    <w:p>
      <w:pPr>
        <w:pStyle w:val="Heading3"/>
      </w:pPr>
      <w:r>
        <w:t xml:space="preserve">4.2 Ethical Adherence and Client Trust</w:t>
      </w:r>
    </w:p>
    <w:p>
      <w:pPr>
        <w:pStyle w:val="FirstParagraph"/>
      </w:pPr>
      <w:r>
        <w:br/>
      </w:r>
      <w:r>
        <w:t xml:space="preserve">The ethical audit revealed that the top-performing</w:t>
      </w:r>
      <w:r>
        <w:t xml:space="preserve"> </w:t>
      </w:r>
      <w:r>
        <w:rPr>
          <w:bCs/>
          <w:b/>
        </w:rPr>
        <w:t xml:space="preserve">LAWYER</w:t>
      </w:r>
      <w:r>
        <w:t xml:space="preserve">s in the simulated environment were those who prioritized transparency with clients regarding costs and potential outcomes—a requirement heavily emphasized by Victorian regulators. In</w:t>
      </w:r>
      <w:r>
        <w:t xml:space="preserve"> </w:t>
      </w:r>
      <w:r>
        <w:rPr>
          <w:iCs/>
          <w:i/>
        </w:rPr>
        <w:t xml:space="preserve">Australia Melbourne</w:t>
      </w:r>
      <w:r>
        <w:t xml:space="preserve">, where legal fees are a common source of public complaint, the most effective practitioners utilized detailed cost agreements at the onset of representation. This practice significantly reduced disputes and enhanced client satisfaction metrics.</w:t>
      </w:r>
    </w:p>
    <w:p>
      <w:pPr>
        <w:pStyle w:val="BodyText"/>
      </w:pPr>
      <w:r>
        <w:br/>
      </w:r>
    </w:p>
    <w:bookmarkEnd w:id="24"/>
    <w:bookmarkStart w:id="25" w:name="technological-integration"/>
    <w:p>
      <w:pPr>
        <w:pStyle w:val="Heading3"/>
      </w:pPr>
      <w:r>
        <w:t xml:space="preserve">4.3 Technological Integration</w:t>
      </w:r>
    </w:p>
    <w:p>
      <w:pPr>
        <w:pStyle w:val="FirstParagraph"/>
      </w:pPr>
      <w:r>
        <w:br/>
      </w:r>
      <w:r>
        <w:t xml:space="preserve">The modern</w:t>
      </w:r>
      <w:r>
        <w:t xml:space="preserve"> </w:t>
      </w:r>
      <w:r>
        <w:rPr>
          <w:bCs/>
          <w:b/>
        </w:rPr>
        <w:t xml:space="preserve">LAWYER</w:t>
      </w:r>
      <w:r>
        <w:t xml:space="preserve"> </w:t>
      </w:r>
      <w:r>
        <w:t xml:space="preserve">in</w:t>
      </w:r>
      <w:r>
        <w:t xml:space="preserve"> </w:t>
      </w:r>
      <w:r>
        <w:rPr>
          <w:iCs/>
          <w:i/>
        </w:rPr>
        <w:t xml:space="preserve">Australia Melbourne</w:t>
      </w:r>
      <w:r>
        <w:t xml:space="preserve"> </w:t>
      </w:r>
      <w:r>
        <w:t xml:space="preserve">is increasingly expected to utilize Legal Tech solutions for document management, e-filing with the Supreme Court of Victoria, and secure client communication. The laboratory results indicated a direct correlation between the use of these digital tools by a</w:t>
      </w:r>
      <w:r>
        <w:t xml:space="preserve"> </w:t>
      </w:r>
      <w:r>
        <w:rPr>
          <w:bCs/>
          <w:b/>
        </w:rPr>
        <w:t xml:space="preserve">LAWYER</w:t>
      </w:r>
      <w:r>
        <w:t xml:space="preserve"> </w:t>
      </w:r>
      <w:r>
        <w:t xml:space="preserve">and an increase in efficiency. Firms in Melbourne that adopted cloud-based practice management software reported faster turnaround times for legal advice, reinforcing the need for technological literacy.</w:t>
      </w:r>
    </w:p>
    <w:p>
      <w:pPr>
        <w:pStyle w:val="BodyText"/>
      </w:pPr>
      <w:r>
        <w:br/>
      </w:r>
    </w:p>
    <w:bookmarkEnd w:id="25"/>
    <w:bookmarkEnd w:id="26"/>
    <w:bookmarkStart w:id="27" w:name="discussion"/>
    <w:p>
      <w:pPr>
        <w:pStyle w:val="Heading2"/>
      </w:pPr>
      <w:r>
        <w:t xml:space="preserve">5.0 Discussion</w:t>
      </w:r>
    </w:p>
    <w:p>
      <w:pPr>
        <w:pStyle w:val="FirstParagraph"/>
      </w:pPr>
      <w:r>
        <w:br/>
      </w:r>
      <w:r>
        <w:t xml:space="preserve">The data collected supports the conclusion that a</w:t>
      </w:r>
      <w:r>
        <w:t xml:space="preserve"> </w:t>
      </w:r>
      <w:r>
        <w:rPr>
          <w:bCs/>
          <w:b/>
        </w:rPr>
        <w:t xml:space="preserve">LAWYER</w:t>
      </w:r>
      <w:r>
        <w:t xml:space="preserve"> </w:t>
      </w:r>
      <w:r>
        <w:t xml:space="preserve">functioning effectively within</w:t>
      </w:r>
      <w:r>
        <w:t xml:space="preserve"> </w:t>
      </w:r>
      <w:r>
        <w:rPr>
          <w:iCs/>
          <w:i/>
        </w:rPr>
        <w:t xml:space="preserve">Australia Melbourne</w:t>
      </w:r>
      <w:r>
        <w:t xml:space="preserve"> </w:t>
      </w:r>
      <w:r>
        <w:t xml:space="preserve">must balance traditional legal knowledge with modern operational efficiency. The specific nuances of working in Melbourne—such as its multicultural demographic and robust commercial sector—demand that a lawyer possess high cultural competency alongside legal expertise.</w:t>
      </w:r>
    </w:p>
    <w:p>
      <w:pPr>
        <w:pStyle w:val="BodyText"/>
      </w:pPr>
      <w:r>
        <w:br/>
      </w:r>
      <w:r>
        <w:t xml:space="preserve">Furthermore, the report highlights the importance of continuous professional development (CPD). In</w:t>
      </w:r>
      <w:r>
        <w:t xml:space="preserve"> </w:t>
      </w:r>
      <w:r>
        <w:rPr>
          <w:iCs/>
          <w:i/>
        </w:rPr>
        <w:t xml:space="preserve">Australia Melbourne</w:t>
      </w:r>
      <w:r>
        <w:t xml:space="preserve">, the legal landscape shifts frequently due to legislative amendments. A static approach to law practice is insufficient. The most successful</w:t>
      </w:r>
      <w:r>
        <w:t xml:space="preserve"> </w:t>
      </w:r>
      <w:r>
        <w:rPr>
          <w:bCs/>
          <w:b/>
        </w:rPr>
        <w:t xml:space="preserve">LAWYER</w:t>
      </w:r>
      <w:r>
        <w:t xml:space="preserve">s demonstrated a proactive engagement with ongoing education regarding changes in Victorian law.</w:t>
      </w:r>
    </w:p>
    <w:p>
      <w:pPr>
        <w:pStyle w:val="BodyText"/>
      </w:pPr>
      <w:r>
        <w:br/>
      </w:r>
      <w:r>
        <w:t xml:space="preserve">Additionally, the competitive nature of the legal market in Melbourne means that a lawyer must also engage effectively in business development while maintaining ethical boundaries. This dual role requires discipline and adherence to strict professional conduct rules enforced by the VLSB.</w:t>
      </w:r>
    </w:p>
    <w:p>
      <w:pPr>
        <w:pStyle w:val="BodyText"/>
      </w:pPr>
      <w:r>
        <w:br/>
      </w:r>
    </w:p>
    <w:bookmarkEnd w:id="27"/>
    <w:bookmarkStart w:id="28" w:name="conclusion"/>
    <w:p>
      <w:pPr>
        <w:pStyle w:val="Heading2"/>
      </w:pPr>
      <w:r>
        <w:t xml:space="preserve">6.0 Conclusion</w:t>
      </w:r>
    </w:p>
    <w:p>
      <w:pPr>
        <w:pStyle w:val="FirstParagraph"/>
      </w:pPr>
      <w:r>
        <w:br/>
      </w:r>
      <w:r>
        <w:t xml:space="preserve">This laboratory report concludes that the role of a</w:t>
      </w:r>
      <w:r>
        <w:t xml:space="preserve"> </w:t>
      </w:r>
      <w:r>
        <w:rPr>
          <w:bCs/>
          <w:b/>
        </w:rPr>
        <w:t xml:space="preserve">LAWYER</w:t>
      </w:r>
      <w:r>
        <w:t xml:space="preserve">, particularly within the jurisdiction of</w:t>
      </w:r>
      <w:r>
        <w:t xml:space="preserve"> </w:t>
      </w:r>
      <w:r>
        <w:rPr>
          <w:iCs/>
          <w:i/>
        </w:rPr>
        <w:t xml:space="preserve">Australia Melbourne</w:t>
      </w:r>
      <w:r>
        <w:t xml:space="preserve">, is multifaceted and demanding. It requires a synthesis of deep statutory knowledge, unwavering ethical standards, and technological proficiency. The findings emphasize that success in this region is not merely about knowing the law but about applying it with precision and empathy to clients situated in</w:t>
      </w:r>
      <w:r>
        <w:t xml:space="preserve"> </w:t>
      </w:r>
      <w:r>
        <w:rPr>
          <w:iCs/>
          <w:i/>
        </w:rPr>
        <w:t xml:space="preserve">Australia Melbourne</w:t>
      </w:r>
      <w:r>
        <w:t xml:space="preserve">. To maintain professional integrity and operational excellence, all practitioners must commit to rigorous adherence to Victorian legal protocols.</w:t>
      </w:r>
    </w:p>
    <w:p>
      <w:pPr>
        <w:pStyle w:val="BodyText"/>
      </w:pPr>
      <w:r>
        <w:br/>
      </w:r>
    </w:p>
    <w:bookmarkEnd w:id="28"/>
    <w:bookmarkStart w:id="29" w:name="recommendations"/>
    <w:p>
      <w:pPr>
        <w:pStyle w:val="Heading2"/>
      </w:pPr>
      <w:r>
        <w:t xml:space="preserve">7.0 Recommendations</w:t>
      </w:r>
    </w:p>
    <w:p>
      <w:pPr>
        <w:pStyle w:val="FirstParagraph"/>
      </w:pPr>
      <w:r>
        <w:br/>
      </w:r>
      <w:r>
        <w:t xml:space="preserve">Based on the analysis of the</w:t>
      </w:r>
      <w:r>
        <w:t xml:space="preserve"> </w:t>
      </w:r>
      <w:r>
        <w:rPr>
          <w:bCs/>
          <w:b/>
        </w:rPr>
        <w:t xml:space="preserve">LAWYER</w:t>
      </w:r>
      <w:r>
        <w:t xml:space="preserve">, it is recommended that:</w:t>
      </w:r>
    </w:p>
    <w:p>
      <w:pPr>
        <w:pStyle w:val="BodyText"/>
      </w:pPr>
      <w:r>
        <w:br/>
      </w:r>
    </w:p>
    <w:p>
      <w:pPr>
        <w:numPr>
          <w:ilvl w:val="0"/>
          <w:numId w:val="1002"/>
        </w:numPr>
        <w:pStyle w:val="Compact"/>
      </w:pPr>
      <w:r>
        <w:t xml:space="preserve">All legal practitioners in</w:t>
      </w:r>
      <w:r>
        <w:t xml:space="preserve"> </w:t>
      </w:r>
      <w:r>
        <w:rPr>
          <w:iCs/>
          <w:i/>
        </w:rPr>
        <w:t xml:space="preserve">Australia Melbourne</w:t>
      </w:r>
      <w:r>
        <w:t xml:space="preserve"> </w:t>
      </w:r>
      <w:r>
        <w:t xml:space="preserve">undergo annual audits of their client communication protocols to ensure compliance with VLSB standards.</w:t>
      </w:r>
    </w:p>
    <w:p>
      <w:pPr>
        <w:numPr>
          <w:ilvl w:val="0"/>
          <w:numId w:val="1002"/>
        </w:numPr>
        <w:pStyle w:val="Compact"/>
      </w:pPr>
      <w:r>
        <w:t xml:space="preserve">Firms invest in specialized training regarding Victorian-specific legislative updates.</w:t>
      </w:r>
    </w:p>
    <w:p>
      <w:pPr>
        <w:numPr>
          <w:ilvl w:val="0"/>
          <w:numId w:val="1002"/>
        </w:numPr>
        <w:pStyle w:val="Compact"/>
      </w:pPr>
      <w:r>
        <w:t xml:space="preserve">The profession continues to promote the use of technology within ethical boundaries to enhance service delivery across Melbourne.</w:t>
      </w:r>
    </w:p>
    <w:p>
      <w:pPr>
        <w:pStyle w:val="FirstParagraph"/>
      </w:pPr>
      <w:r>
        <w:br/>
      </w:r>
    </w:p>
    <w:p>
      <w:pPr>
        <w:pStyle w:val="BodyText"/>
      </w:pPr>
      <w:r>
        <w:rPr>
          <w:iCs/>
          <w:i/>
        </w:rPr>
        <w:t xml:space="preserve">This report serves as an essential reference for understanding the operational dynamics and expectations of a LAWYER practicing in Australia Melbourne. It underscores that excellence in legal practice is a continuous laboratory experiment requiring constant refinement and adherence to local standards.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Practitioner Proficiency and Ethical Compliance in Australia Melbourne</dc:title>
  <dc:creator/>
  <dc:language>en</dc:language>
  <cp:keywords/>
  <dcterms:created xsi:type="dcterms:W3CDTF">2026-07-29T10:14:50Z</dcterms:created>
  <dcterms:modified xsi:type="dcterms:W3CDTF">2026-07-29T10:14:50Z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