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Legal</w:t>
      </w:r>
      <w:r>
        <w:t xml:space="preserve"> </w:t>
      </w:r>
      <w:r>
        <w:t xml:space="preserve">Services</w:t>
      </w:r>
      <w:r>
        <w:t xml:space="preserve"> </w:t>
      </w:r>
      <w:r>
        <w:t xml:space="preserve">Analysis</w:t>
      </w:r>
      <w:r>
        <w:t xml:space="preserve"> </w:t>
      </w:r>
      <w:r>
        <w:t xml:space="preserve">in</w:t>
      </w:r>
      <w:r>
        <w:t xml:space="preserve"> </w:t>
      </w:r>
      <w:r>
        <w:t xml:space="preserve">Brazil,</w:t>
      </w:r>
      <w:r>
        <w:t xml:space="preserve"> </w:t>
      </w:r>
      <w:r>
        <w:t xml:space="preserve">Brasília</w:t>
      </w:r>
    </w:p>
    <w:bookmarkStart w:id="32" w:name="X51a65eddeb957b1cb8a387f1e447e1e7d2e9877"/>
    <w:p>
      <w:pPr>
        <w:pStyle w:val="Heading1"/>
      </w:pPr>
      <w:r>
        <w:t xml:space="preserve">Laboratory Report on Juridical Methodology and Professional Practice</w:t>
      </w:r>
      <w:r>
        <w:br/>
      </w:r>
      <w:r>
        <w:t xml:space="preserve">The Role of the Lawyer in the Legal Ecosystem of Brazil, Brasília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Comprehensive Analysis of Legal Service Delivery and Regulatory Compliance</w:t>
      </w:r>
      <w:r>
        <w:br/>
      </w:r>
    </w:p>
    <w:p>
      <w:pPr>
        <w:pStyle w:val="BodyText"/>
      </w:pPr>
      <w:r>
        <w:t xml:space="preserve">Jurisdiction:</w:t>
      </w:r>
    </w:p>
    <w:p>
      <w:pPr>
        <w:pStyle w:val="BodyText"/>
      </w:pPr>
      <w:r>
        <w:t xml:space="preserve">Focal Point:The Modern Lawyer in the Capital Territory</w:t>
      </w:r>
    </w:p>
    <w:bookmarkStart w:id="20" w:name="introduction-and-objective"/>
    <w:p>
      <w:pPr>
        <w:pStyle w:val="Heading2"/>
      </w:pPr>
      <w:r>
        <w:t xml:space="preserve">1. Introduction and Objective</w:t>
      </w:r>
    </w:p>
    <w:p>
      <w:pPr>
        <w:pStyle w:val="FirstParagraph"/>
      </w:pPr>
      <w:r>
        <w:t xml:space="preserve">This laboratory report aims to provide a rigorous, analytical examination of the professional functioning of a</w:t>
      </w:r>
      <w:r>
        <w:t xml:space="preserve"> </w:t>
      </w:r>
      <w:r>
        <w:rPr>
          <w:bCs/>
          <w:b/>
        </w:rPr>
        <w:t xml:space="preserve">Lawyer</w:t>
      </w:r>
      <w:r>
        <w:t xml:space="preserve">, specifically within the unique socio-legal context of</w:t>
      </w:r>
      <w:r>
        <w:t xml:space="preserve"> </w:t>
      </w:r>
      <w:r>
        <w:rPr>
          <w:bCs/>
          <w:b/>
        </w:rPr>
        <w:t xml:space="preserve">Brazil, Brasília</w:t>
      </w:r>
      <w:r>
        <w:t xml:space="preserve">. As the capital city and seat of the three branches of government in Brazil, Brasília presents distinct challenges and opportunities for legal practitioners. Unlike other major Brazilian metros such as São Paulo or Rio de Janeiro, the dynamics in</w:t>
      </w:r>
      <w:r>
        <w:t xml:space="preserve"> </w:t>
      </w:r>
      <w:r>
        <w:rPr>
          <w:bCs/>
          <w:b/>
        </w:rPr>
        <w:t xml:space="preserve">Brazil, Brasília</w:t>
      </w:r>
      <w:r>
        <w:t xml:space="preserve"> </w:t>
      </w:r>
      <w:r>
        <w:t xml:space="preserve">are heavily influenced by federal bureaucracy, constitutional litigation, and administrative law.</w:t>
      </w:r>
    </w:p>
    <w:p>
      <w:pPr>
        <w:pStyle w:val="BodyText"/>
      </w:pPr>
      <w:r>
        <w:t xml:space="preserve">The primary objective of this study is to document the workflow, ethical obligations, and strategic approaches required for a</w:t>
      </w:r>
      <w:r>
        <w:t xml:space="preserve"> </w:t>
      </w:r>
      <w:r>
        <w:rPr>
          <w:bCs/>
          <w:b/>
        </w:rPr>
        <w:t xml:space="preserve">Lawyer</w:t>
      </w:r>
      <w:r>
        <w:t xml:space="preserve"> </w:t>
      </w:r>
      <w:r>
        <w:t xml:space="preserve">to effectively serve clients while navigating the judicial systems located in the Federal District. This report serves as both an educational tool for legal interns and a reference guide for understanding the specialized nature of practice in</w:t>
      </w:r>
      <w:r>
        <w:t xml:space="preserve"> </w:t>
      </w:r>
      <w:r>
        <w:rPr>
          <w:bCs/>
          <w:b/>
        </w:rPr>
        <w:t xml:space="preserve">Brazil, Brasília</w:t>
      </w:r>
      <w:r>
        <w:t xml:space="preserve">.</w:t>
      </w:r>
    </w:p>
    <w:bookmarkEnd w:id="20"/>
    <w:bookmarkStart w:id="23" w:name="Xf10f58bf1f18c45fe5e3e481c9528662e6a5562"/>
    <w:p>
      <w:pPr>
        <w:pStyle w:val="Heading2"/>
      </w:pPr>
      <w:r>
        <w:t xml:space="preserve">2. Theoretical Framework: The Legal Landscape of Brazil, Brasília</w:t>
      </w:r>
    </w:p>
    <w:p>
      <w:pPr>
        <w:pStyle w:val="FirstParagraph"/>
      </w:pPr>
      <w:r>
        <w:t xml:space="preserve">To understand the role of the</w:t>
      </w:r>
      <w:r>
        <w:t xml:space="preserve"> </w:t>
      </w:r>
      <w:r>
        <w:rPr>
          <w:bCs/>
          <w:b/>
        </w:rPr>
        <w:t xml:space="preserve">Lawyer</w:t>
      </w:r>
      <w:r>
        <w:t xml:space="preserve">, one must first contextualize their environment.</w:t>
      </w:r>
      <w:r>
        <w:t xml:space="preserve"> </w:t>
      </w:r>
      <w:r>
        <w:rPr>
          <w:bCs/>
          <w:b/>
        </w:rPr>
        <w:t xml:space="preserve">Brazil, Brasília</w:t>
      </w:r>
      <w:r>
        <w:t xml:space="preserve">, established in 1960, is not merely a city but a symbol of national unity and federal administration. Consequently, the legal market here is dominated by disputes involving federal entities.</w:t>
      </w:r>
    </w:p>
    <w:bookmarkStart w:id="21" w:name="jurisdictional-specifics"/>
    <w:p>
      <w:pPr>
        <w:pStyle w:val="Heading3"/>
      </w:pPr>
      <w:r>
        <w:t xml:space="preserve">2.1 Jurisdictional Specifics</w:t>
      </w:r>
    </w:p>
    <w:p>
      <w:pPr>
        <w:pStyle w:val="FirstParagraph"/>
      </w:pPr>
      <w:r>
        <w:t xml:space="preserve">In most Brazilian states, local state laws play a significant role in daily legal practice. However, in</w:t>
      </w:r>
      <w:r>
        <w:t xml:space="preserve"> </w:t>
      </w:r>
      <w:r>
        <w:rPr>
          <w:bCs/>
          <w:b/>
        </w:rPr>
        <w:t xml:space="preserve">Brazil, Brasília</w:t>
      </w:r>
      <w:r>
        <w:t xml:space="preserve">, while there are state courts (Tribunal de Justiça do Distrito Federal e Territórios - TJDF), the proximity to the Supreme Federal Court (STF) and other superior tribunals elevates the importance of constitutional and administrative law. A</w:t>
      </w:r>
      <w:r>
        <w:t xml:space="preserve"> </w:t>
      </w:r>
      <w:r>
        <w:rPr>
          <w:bCs/>
          <w:b/>
        </w:rPr>
        <w:t xml:space="preserve">Lawyer</w:t>
      </w:r>
      <w:r>
        <w:t xml:space="preserve"> </w:t>
      </w:r>
      <w:r>
        <w:t xml:space="preserve">operating in this region must possess a deep understanding of federal regulations, as many cases originate from or impact federal agencies headquartered in the capital.</w:t>
      </w:r>
    </w:p>
    <w:bookmarkEnd w:id="21"/>
    <w:bookmarkStart w:id="22" w:name="Xe527c443d5a1548ff1f17bd7406266b7a5038d8"/>
    <w:p>
      <w:pPr>
        <w:pStyle w:val="Heading3"/>
      </w:pPr>
      <w:r>
        <w:t xml:space="preserve">2.2 The Brazilian Bar Association (OAB) Standards</w:t>
      </w:r>
    </w:p>
    <w:p>
      <w:pPr>
        <w:pStyle w:val="FirstParagraph"/>
      </w:pPr>
      <w:r>
        <w:t xml:space="preserve">All legal activities described in this report are conducted under the strict supervision and ethical guidelines of the Ordem dos Advogados do Brasil (OAB). In</w:t>
      </w:r>
      <w:r>
        <w:t xml:space="preserve"> </w:t>
      </w:r>
      <w:r>
        <w:rPr>
          <w:bCs/>
          <w:b/>
        </w:rPr>
        <w:t xml:space="preserve">Brazil, Brasília</w:t>
      </w:r>
      <w:r>
        <w:t xml:space="preserve">, the local section of OAB enforces high standards of professional conduct. The independence of a</w:t>
      </w:r>
      <w:r>
        <w:t xml:space="preserve"> </w:t>
      </w:r>
      <w:r>
        <w:rPr>
          <w:bCs/>
          <w:b/>
        </w:rPr>
        <w:t xml:space="preserve">Lawyer</w:t>
      </w:r>
      <w:r>
        <w:t xml:space="preserve"> </w:t>
      </w:r>
      <w:r>
        <w:t xml:space="preserve">is paramount, ensuring that legal advice is rendered without improper influence from political or economic powers, a critical concern in the heart of federal governance.</w:t>
      </w:r>
    </w:p>
    <w:bookmarkEnd w:id="22"/>
    <w:bookmarkEnd w:id="23"/>
    <w:bookmarkStart w:id="28" w:name="methodology-case-study-simulation"/>
    <w:p>
      <w:pPr>
        <w:pStyle w:val="Heading2"/>
      </w:pPr>
      <w:r>
        <w:t xml:space="preserve">3. Methodology: Case Study Simulation</w:t>
      </w:r>
    </w:p>
    <w:p>
      <w:pPr>
        <w:pStyle w:val="FirstParagraph"/>
      </w:pPr>
      <w:r>
        <w:t xml:space="preserve">This section outlines the procedural steps typically undertaken by a</w:t>
      </w:r>
      <w:r>
        <w:t xml:space="preserve"> </w:t>
      </w:r>
      <w:r>
        <w:rPr>
          <w:bCs/>
          <w:b/>
        </w:rPr>
        <w:t xml:space="preserve">Lawyer</w:t>
      </w:r>
      <w:r>
        <w:t xml:space="preserve"> </w:t>
      </w:r>
      <w:r>
        <w:t xml:space="preserve">when handling a complex administrative litigation case in</w:t>
      </w:r>
      <w:r>
        <w:t xml:space="preserve"> </w:t>
      </w:r>
      <w:r>
        <w:rPr>
          <w:bCs/>
          <w:b/>
        </w:rPr>
        <w:t xml:space="preserve">Brazil, Brasília</w:t>
      </w:r>
      <w:r>
        <w:t xml:space="preserve">. The methodology follows the standard legal research and advocacy process, adapted to the local judicial pace.</w:t>
      </w:r>
    </w:p>
    <w:bookmarkStart w:id="24" w:name="X14c458c9860f7b630747265146db479346f53ff"/>
    <w:p>
      <w:pPr>
        <w:pStyle w:val="Heading3"/>
      </w:pPr>
      <w:r>
        <w:t xml:space="preserve">3.1 Phase I: Client Intake and Conflict of Interest Check</w:t>
      </w:r>
    </w:p>
    <w:p>
      <w:pPr>
        <w:pStyle w:val="FirstParagraph"/>
      </w:pPr>
      <w:r>
        <w:t xml:space="preserve">The first step involves a thorough intake meeting. In</w:t>
      </w:r>
      <w:r>
        <w:t xml:space="preserve"> </w:t>
      </w:r>
      <w:r>
        <w:rPr>
          <w:bCs/>
          <w:b/>
        </w:rPr>
        <w:t xml:space="preserve">Brazil, Brasília</w:t>
      </w:r>
      <w:r>
        <w:t xml:space="preserve">, clients often include federal public servants, contractors dealing with government tenders, or citizens disputing administrative penalties. The</w:t>
      </w:r>
      <w:r>
        <w:t xml:space="preserve"> </w:t>
      </w:r>
      <w:r>
        <w:rPr>
          <w:bCs/>
          <w:b/>
        </w:rPr>
        <w:t xml:space="preserve">Lawyer</w:t>
      </w:r>
      <w:r>
        <w:t xml:space="preserve"> </w:t>
      </w:r>
      <w:r>
        <w:t xml:space="preserve">must immediately perform a conflict of interest check against the OAB database to ensure ethical compliance.</w:t>
      </w:r>
    </w:p>
    <w:bookmarkEnd w:id="24"/>
    <w:bookmarkStart w:id="25" w:name="Xbd48a22bac51801505beda28e0b1c29157f06aa"/>
    <w:p>
      <w:pPr>
        <w:pStyle w:val="Heading3"/>
      </w:pPr>
      <w:r>
        <w:t xml:space="preserve">3.2 Phase II: Legal Research and Preliminary Analysis</w:t>
      </w:r>
    </w:p>
    <w:p>
      <w:pPr>
        <w:pStyle w:val="FirstParagraph"/>
      </w:pPr>
      <w:r>
        <w:t xml:space="preserve">The core of the work involves analyzing Brazilian legislation, including the Constitution, federal decrees, and specific administrative codes relevant to</w:t>
      </w:r>
      <w:r>
        <w:t xml:space="preserve"> </w:t>
      </w:r>
      <w:r>
        <w:rPr>
          <w:bCs/>
          <w:b/>
        </w:rPr>
        <w:t xml:space="preserve">Brazil, Brasília</w:t>
      </w:r>
      <w:r>
        <w:t xml:space="preserve">. The</w:t>
      </w:r>
      <w:r>
        <w:t xml:space="preserve"> </w:t>
      </w:r>
      <w:r>
        <w:rPr>
          <w:bCs/>
          <w:b/>
        </w:rPr>
        <w:t xml:space="preserve">Lawyer</w:t>
      </w:r>
      <w:r>
        <w:t xml:space="preserve"> </w:t>
      </w:r>
      <w:r>
        <w:t xml:space="preserve">must identify precedents set by local judges in the TJDF as well as decisions from superior courts. This phase requires meticulous attention to detail, particularly regarding procedural deadlines which are often strict in federal district jurisdictions.</w:t>
      </w:r>
    </w:p>
    <w:bookmarkEnd w:id="25"/>
    <w:bookmarkStart w:id="26" w:name="phase-iii-drafting-and-submission"/>
    <w:p>
      <w:pPr>
        <w:pStyle w:val="Heading3"/>
      </w:pPr>
      <w:r>
        <w:t xml:space="preserve">3.3 Phase III: Drafting and Submission</w:t>
      </w:r>
    </w:p>
    <w:p>
      <w:pPr>
        <w:pStyle w:val="FirstParagraph"/>
      </w:pPr>
      <w:r>
        <w:t xml:space="preserve">Drafting petitions is a critical skill for any</w:t>
      </w:r>
      <w:r>
        <w:t xml:space="preserve"> </w:t>
      </w:r>
      <w:r>
        <w:rPr>
          <w:bCs/>
          <w:b/>
        </w:rPr>
        <w:t xml:space="preserve">Lawyer</w:t>
      </w:r>
      <w:r>
        <w:t xml:space="preserve">. In the context of</w:t>
      </w:r>
      <w:r>
        <w:t xml:space="preserve"> </w:t>
      </w:r>
      <w:r>
        <w:rPr>
          <w:bCs/>
          <w:b/>
        </w:rPr>
        <w:t xml:space="preserve">Brazil, Brasília</w:t>
      </w:r>
      <w:r>
        <w:t xml:space="preserve">, petitions must be precise, citing specific articles from federal law and administrative norms. Given the electronic filing systems used by Brazilian courts (such as PJe or e-SAJ), technical proficiency in digital submission is essential.</w:t>
      </w:r>
    </w:p>
    <w:bookmarkEnd w:id="26"/>
    <w:bookmarkStart w:id="27" w:name="phase-iv-oral-advocacy-and-hearings"/>
    <w:p>
      <w:pPr>
        <w:pStyle w:val="Heading3"/>
      </w:pPr>
      <w:r>
        <w:t xml:space="preserve">3.4 Phase IV: Oral Advocacy and Hearings</w:t>
      </w:r>
    </w:p>
    <w:p>
      <w:pPr>
        <w:pStyle w:val="FirstParagraph"/>
      </w:pPr>
      <w:r>
        <w:t xml:space="preserve">If the case proceeds to hearings, the</w:t>
      </w:r>
      <w:r>
        <w:t xml:space="preserve"> </w:t>
      </w:r>
      <w:r>
        <w:rPr>
          <w:bCs/>
          <w:b/>
        </w:rPr>
        <w:t xml:space="preserve">Lawyer</w:t>
      </w:r>
      <w:r>
        <w:t xml:space="preserve"> </w:t>
      </w:r>
      <w:r>
        <w:t xml:space="preserve">must present arguments orally before judges in Brasília. The style of advocacy here tends to be formal and highly respectful of judicial protocol, reflecting the capital's status. Persuasive techniques must be tailored to judges who often handle high-volume dockets involving government interests.</w:t>
      </w:r>
    </w:p>
    <w:bookmarkEnd w:id="27"/>
    <w:bookmarkEnd w:id="28"/>
    <w:bookmarkStart w:id="29" w:name="data-analysis-and-observations"/>
    <w:p>
      <w:pPr>
        <w:pStyle w:val="Heading2"/>
      </w:pPr>
      <w:r>
        <w:t xml:space="preserve">4. Data Analysis and Observations</w:t>
      </w:r>
    </w:p>
    <w:p>
      <w:pPr>
        <w:pStyle w:val="FirstParagraph"/>
      </w:pPr>
      <w:r>
        <w:t xml:space="preserve">The following table summarizes key differences observed in legal practice in</w:t>
      </w:r>
      <w:r>
        <w:t xml:space="preserve"> </w:t>
      </w:r>
      <w:r>
        <w:rPr>
          <w:bCs/>
          <w:b/>
        </w:rPr>
        <w:t xml:space="preserve">Brazil, Brasília</w:t>
      </w:r>
      <w:r>
        <w:t xml:space="preserve"> </w:t>
      </w:r>
      <w:r>
        <w:t xml:space="preserve">compared to other Brazilian regions.</w:t>
      </w:r>
    </w:p>
    <w:p>
      <w:pPr>
        <w:pStyle w:val="BodyText"/>
      </w:pPr>
      <w:r>
        <w:rPr>
          <w:bCs/>
          <w:b/>
        </w:rPr>
        <w:t xml:space="preserve">Metric</w:t>
      </w:r>
    </w:p>
    <w:p>
      <w:pPr>
        <w:pStyle w:val="BodyText"/>
      </w:pPr>
      <w:r>
        <w:rPr>
          <w:bCs/>
          <w:b/>
        </w:rPr>
        <w:t xml:space="preserve">Brazil, Brasília (Federal District)</w:t>
      </w:r>
    </w:p>
    <w:p>
      <w:pPr>
        <w:pStyle w:val="BodyText"/>
      </w:pPr>
      <w:r>
        <w:rPr>
          <w:iCs/>
          <w:i/>
        </w:rPr>
        <w:t xml:space="preserve">Note on Lawyer Practice</w:t>
      </w:r>
    </w:p>
    <w:p>
      <w:pPr>
        <w:pStyle w:val="BodyText"/>
      </w:pPr>
      <w:r>
        <w:t xml:space="preserve">Predominant Case Type</w:t>
      </w:r>
    </w:p>
    <w:p>
      <w:pPr>
        <w:pStyle w:val="BodyText"/>
      </w:pPr>
      <w:r>
        <w:t xml:space="preserve">Federal Administrative &amp; Constitutional Law</w:t>
      </w:r>
    </w:p>
    <w:p>
      <w:pPr>
        <w:pStyle w:val="BodyText"/>
      </w:pPr>
      <w:r>
        <w:t xml:space="preserve">The Lawyer must specialize in federal statutes.&gt;/TD&gt;&gt;/TR&gt;&gt;</w:t>
      </w:r>
    </w:p>
    <w:p>
      <w:pPr>
        <w:pStyle w:val="BodyText"/>
      </w:pPr>
      <w:r>
        <w:rPr>
          <w:bCs/>
          <w:b/>
        </w:rPr>
        <w:t xml:space="preserve">Court Proximity</w:t>
      </w:r>
    </w:p>
    <w:p>
      <w:pPr>
        <w:pStyle w:val="BodyText"/>
      </w:pPr>
      <w:r>
        <w:t xml:space="preserve">Near STF, STJ, TST, TSE</w:t>
      </w:r>
    </w:p>
    <w:p>
      <w:pPr>
        <w:pStyle w:val="BodyText"/>
      </w:pPr>
      <w:r>
        <w:t xml:space="preserve">The Lawyer often engages with higher court jurisprudence early in the case lifecycle.</w:t>
      </w:r>
    </w:p>
    <w:p>
      <w:pPr>
        <w:pStyle w:val="BodyText"/>
      </w:pPr>
      <w:r>
        <w:t xml:space="preserve">Client Profile</w:t>
      </w:r>
    </w:p>
    <w:p>
      <w:pPr>
        <w:pStyle w:val="BodyText"/>
      </w:pPr>
      <w:r>
        <w:t xml:space="preserve">Mixed (Private Individuals &amp; Federal Entities)</w:t>
      </w:r>
    </w:p>
    <w:p>
      <w:pPr>
        <w:pStyle w:val="BodyText"/>
      </w:pPr>
      <w:r>
        <w:t xml:space="preserve">The Lawyer must navigate power asymmetries between citizens and the federal government.</w:t>
      </w:r>
    </w:p>
    <w:p>
      <w:pPr>
        <w:pStyle w:val="BodyText"/>
      </w:pPr>
      <w:r>
        <w:t xml:space="preserve">&gt;/TD&gt;&gt;/TR&gt;&gt;</w:t>
      </w:r>
    </w:p>
    <w:p>
      <w:pPr>
        <w:pStyle w:val="BodyText"/>
      </w:pPr>
      <w:r>
        <w:rPr>
          <w:bCs/>
          <w:b/>
        </w:rPr>
        <w:t xml:space="preserve">Docket Speed</w:t>
      </w:r>
    </w:p>
    <w:p>
      <w:pPr>
        <w:pStyle w:val="BodyText"/>
      </w:pPr>
      <w:r>
        <w:t xml:space="preserve">Variable, often slower in complex administrative matters</w:t>
      </w:r>
    </w:p>
    <w:p>
      <w:pPr>
        <w:pStyle w:val="BodyText"/>
      </w:pPr>
      <w:r>
        <w:t xml:space="preserve">The Lawyer requires patience and strategic long-term planning.</w:t>
      </w:r>
    </w:p>
    <w:bookmarkEnd w:id="29"/>
    <w:bookmarkStart w:id="30" w:name="Xccc02594b1f6d3a17c255019d58b0b5580f7719"/>
    <w:p>
      <w:pPr>
        <w:pStyle w:val="Heading2"/>
      </w:pPr>
      <w:r>
        <w:t xml:space="preserve">5. Discussion: Ethical Challenges in the Capital</w:t>
      </w:r>
    </w:p>
    <w:p>
      <w:pPr>
        <w:pStyle w:val="FirstParagraph"/>
      </w:pPr>
      <w:r>
        <w:t xml:space="preserve">A significant portion of this report addresses the ethical dimensions faced by a</w:t>
      </w:r>
      <w:r>
        <w:t xml:space="preserve"> </w:t>
      </w:r>
      <w:r>
        <w:rPr>
          <w:bCs/>
          <w:b/>
        </w:rPr>
        <w:t xml:space="preserve">Lawyer</w:t>
      </w:r>
      <w:r>
        <w:t xml:space="preserve">. In</w:t>
      </w:r>
      <w:r>
        <w:t xml:space="preserve"> </w:t>
      </w:r>
      <w:r>
        <w:rPr>
          <w:bCs/>
          <w:b/>
        </w:rPr>
        <w:t xml:space="preserve">Brazil, Brasília</w:t>
      </w:r>
      <w:r>
        <w:t xml:space="preserve">, the intersection of law and politics is constant. A primary challenge for legal practitioners is maintaining professional neutrality when representing clients against government bodies or when advising government entities on controversial matters.</w:t>
      </w:r>
    </w:p>
    <w:p>
      <w:pPr>
        <w:pStyle w:val="BodyText"/>
      </w:pPr>
      <w:r>
        <w:t xml:space="preserve">The OAB emphasizes that a Lawyer must never compromise their integrity for political expediency. In the capital, where many high-profile cases receive media attention, the pressure to conform to public opinion can be intense. However, the ethical mandate remains clear: the Lawyer serves justice and their client's legitimate rights above all else.</w:t>
      </w:r>
    </w:p>
    <w:p>
      <w:pPr>
        <w:pStyle w:val="BodyText"/>
      </w:pPr>
      <w:r>
        <w:t xml:space="preserve">Furthermore, data privacy laws (LGPD) have become increasingly relevant in</w:t>
      </w:r>
      <w:r>
        <w:t xml:space="preserve"> </w:t>
      </w:r>
      <w:r>
        <w:rPr>
          <w:bCs/>
          <w:b/>
        </w:rPr>
        <w:t xml:space="preserve">Brazil, Brasília</w:t>
      </w:r>
      <w:r>
        <w:t xml:space="preserve">. Lawyers handling federal government contracts must ensure that client data is protected according to rigorous federal standards. Failure to comply can result in severe penalties from both judicial authorities and professional disciplinary bodies.</w:t>
      </w:r>
    </w:p>
    <w:bookmarkEnd w:id="30"/>
    <w:bookmarkStart w:id="31" w:name="conclusion-and-recommendations"/>
    <w:p>
      <w:pPr>
        <w:pStyle w:val="Heading2"/>
      </w:pPr>
      <w:r>
        <w:t xml:space="preserve">6. Conclusion and Recommendations</w:t>
      </w:r>
    </w:p>
    <w:p>
      <w:pPr>
        <w:pStyle w:val="FirstParagraph"/>
      </w:pPr>
      <w:r>
        <w:t xml:space="preserve">This laboratory report concludes that the role of a Lawyer in</w:t>
      </w:r>
      <w:r>
        <w:t xml:space="preserve"> </w:t>
      </w:r>
      <w:r>
        <w:rPr>
          <w:bCs/>
          <w:b/>
        </w:rPr>
        <w:t xml:space="preserve">Brazil, Brasília</w:t>
      </w:r>
      <w:r>
        <w:t xml:space="preserve"> </w:t>
      </w:r>
      <w:r>
        <w:t xml:space="preserve">is one of critical importance to the functioning of the state's legal machinery. The unique position of the capital as the administrative heart of Brazil demands a specialized approach to legal practice. Lawyers here must be not only versed in general Brazilian law but also experts in federal administrative procedure and constitutional rights.</w:t>
      </w:r>
    </w:p>
    <w:p>
      <w:pPr>
        <w:pStyle w:val="BodyText"/>
      </w:pPr>
      <w:r>
        <w:t xml:space="preserve">Key recommendations for aspiring Lawyers intending to practice in this jurisdiction include:</w:t>
      </w:r>
    </w:p>
    <w:p>
      <w:pPr>
        <w:numPr>
          <w:ilvl w:val="0"/>
          <w:numId w:val="1001"/>
        </w:numPr>
        <w:pStyle w:val="Compact"/>
      </w:pPr>
      <w:r>
        <w:t xml:space="preserve">Pursue Specialization:Focusing on Administrative Law or Constitutional Litigation provides a competitive edge in the market of Brazil, Brasília.</w:t>
      </w:r>
    </w:p>
    <w:p>
      <w:pPr>
        <w:numPr>
          <w:ilvl w:val="0"/>
          <w:numId w:val="1001"/>
        </w:numPr>
        <w:pStyle w:val="Compact"/>
      </w:pPr>
      <w:r>
        <w:t xml:space="preserve">Master Digital Tools:Proficiency with electronic court systems is non-negotiable for efficient practice.</w:t>
      </w:r>
    </w:p>
    <w:p>
      <w:pPr>
        <w:numPr>
          <w:ilvl w:val="0"/>
          <w:numId w:val="1001"/>
        </w:numPr>
        <w:pStyle w:val="Compact"/>
      </w:pPr>
      <w:r>
        <w:t xml:space="preserve">Ethical Vigilance:Maintain strict adherence to OAB codes of conduct, especially regarding conflicts of interest in political contexts.</w:t>
      </w:r>
    </w:p>
    <w:p>
      <w:pPr>
        <w:numPr>
          <w:ilvl w:val="0"/>
          <w:numId w:val="1001"/>
        </w:numPr>
        <w:pStyle w:val="Compact"/>
      </w:pPr>
      <w:r>
        <w:t xml:space="preserve">Continuous Education:Federal laws and decrees change frequently; ongoing education is essential for relevant counsel.</w:t>
      </w:r>
    </w:p>
    <w:p>
      <w:pPr>
        <w:pStyle w:val="FirstParagraph"/>
      </w:pPr>
      <w:r>
        <w:t xml:space="preserve">In summary, the Lawyer serves as a guardian of rights and a facilitator of justice within the complex ecosystem of Brazil, Brasília. By understanding the specific nuances of this jurisdiction, legal professionals can better serve their clients and uphold the rule of law in the national capital.</w:t>
      </w:r>
    </w:p>
    <w:p>
      <w:pPr>
        <w:pStyle w:val="BodyText"/>
      </w:pPr>
      <w:r>
        <w:t xml:space="preserve">&gt;</w:t>
      </w:r>
    </w:p>
    <w:p>
      <w:pPr>
        <w:pStyle w:val="BodyText"/>
      </w:pPr>
      <w:r>
        <w:rPr>
          <w:bCs/>
          <w:b/>
        </w:rPr>
        <w:t xml:space="preserve">Disclaimer:</w:t>
      </w:r>
      <w:r>
        <w:t xml:space="preserve"> </w:t>
      </w:r>
      <w:r>
        <w:t xml:space="preserve">This document is for informational and educational purposes only. It does not constitute legal advice. For specific legal matters in Brazil, please consult a qualified Lawyer registered with the OAB.</w:t>
      </w:r>
    </w:p>
    <w:p>
      <w:pPr>
        <w:pStyle w:val="BodyText"/>
      </w:pPr>
      <w:r>
        <w:t xml:space="preserve">&gt;</w:t>
      </w:r>
    </w:p>
    <w:p>
      <w:pPr>
        <w:pStyle w:val="BodyText"/>
      </w:pPr>
      <w:r>
        <w:t xml:space="preserve">&gt;</w:t>
      </w:r>
    </w:p>
    <w:p>
      <w:pPr>
        <w:pStyle w:val="BodyText"/>
      </w:pPr>
      <w:r>
        <w:t xml:space="preserve">&gt;</w:t>
      </w:r>
    </w:p>
    <w:p>
      <w:pPr>
        <w:pStyle w:val="BodyText"/>
      </w:pPr>
      <w:r>
        <w:t xml:space="preserve">&gt;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Legal Services Analysis in Brazil, Brasília</dc:title>
  <dc:creator/>
  <dc:language>en</dc:language>
  <cp:keywords/>
  <dcterms:created xsi:type="dcterms:W3CDTF">2026-07-29T16:08:28Z</dcterms:created>
  <dcterms:modified xsi:type="dcterms:W3CDTF">2026-07-29T16:08:28Z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