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Professional</w:t>
      </w:r>
      <w:r>
        <w:t xml:space="preserve"> </w:t>
      </w:r>
      <w:r>
        <w:t xml:space="preserve">Legal</w:t>
      </w:r>
      <w:r>
        <w:t xml:space="preserve"> </w:t>
      </w:r>
      <w:r>
        <w:t xml:space="preserve">Services</w:t>
      </w:r>
      <w:r>
        <w:t xml:space="preserve"> </w:t>
      </w:r>
      <w:r>
        <w:t xml:space="preserve">Analysis</w:t>
      </w:r>
      <w:r>
        <w:t xml:space="preserve"> </w:t>
      </w:r>
      <w:r>
        <w:t xml:space="preserve">in</w:t>
      </w:r>
      <w:r>
        <w:t xml:space="preserve"> </w:t>
      </w:r>
      <w:r>
        <w:t xml:space="preserve">Canada</w:t>
      </w:r>
      <w:r>
        <w:t xml:space="preserve"> </w:t>
      </w:r>
      <w:r>
        <w:t xml:space="preserve">Toronto</w:t>
      </w:r>
    </w:p>
    <w:bookmarkStart w:id="34" w:name="X6fa00a6de9f9a19c0651e47786f3d66d51f664c"/>
    <w:p>
      <w:pPr>
        <w:pStyle w:val="Heading1"/>
      </w:pPr>
      <w:r>
        <w:t xml:space="preserve">Laboratory REPORT on the Efficacy and Regulatory Framework of Lawyer Services in Canada Toronto</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for Legal Studies and Civic Integration</w:t>
      </w:r>
      <w:r>
        <w:br/>
      </w:r>
      <w:r>
        <w:rPr>
          <w:bCs/>
          <w:b/>
        </w:rPr>
        <w:t xml:space="preserve">Subject:</w:t>
      </w:r>
      <w:r>
        <w:t xml:space="preserve"> </w:t>
      </w:r>
      <w:r>
        <w:t xml:space="preserve">Professional Legal Representation Analysis</w:t>
      </w:r>
    </w:p>
    <w:bookmarkStart w:id="20" w:name="aim-of-the-report"/>
    <w:p>
      <w:pPr>
        <w:pStyle w:val="Heading2"/>
      </w:pPr>
      <w:r>
        <w:rPr>
          <w:iCs/>
          <w:i/>
        </w:rPr>
        <w:t xml:space="preserve">Aim of the Report</w:t>
      </w:r>
    </w:p>
    <w:p>
      <w:pPr>
        <w:pStyle w:val="FirstParagraph"/>
      </w:pPr>
      <w:r>
        <w:t xml:space="preserve">The primary objective of this laboratory report is to analyze the operational mechanics, regulatory constraints, and practical application of lawyer services within the specific jurisdictional context of Canada Toronto. This study aims to deconstruct how legal professionals navigate the dual obligations required by Canadian federal law and Ontario provincial statutes, with a specific focus on ethical compliance and client advocacy in one of North America's most diverse metropolitan areas.</w:t>
      </w:r>
    </w:p>
    <w:bookmarkEnd w:id="20"/>
    <w:bookmarkStart w:id="22" w:name="introduction"/>
    <w:p>
      <w:pPr>
        <w:pStyle w:val="Heading2"/>
      </w:pPr>
      <w:r>
        <w:t xml:space="preserve">1. Introduction</w:t>
      </w:r>
    </w:p>
    <w:p>
      <w:pPr>
        <w:pStyle w:val="FirstParagraph"/>
      </w:pPr>
      <w:r>
        <w:t xml:space="preserve">In the complex ecosystem of modern jurisprudence, the role of a lawyer transcends mere legal representation; it acts as a critical interface between individual citizens and state authority. This report investigates the function of a lawyer within Canada Toronto, examining how local nuances influence legal strategy and professional conduct. Toronto serves as a unique case study due to its multicultural demographic and its status as an economic hub, necessitating lawyers who possess not only technical legal knowledge but also high levels of cultural competence.</w:t>
      </w:r>
    </w:p>
    <w:bookmarkStart w:id="21" w:name="background"/>
    <w:p>
      <w:pPr>
        <w:pStyle w:val="Heading3"/>
      </w:pPr>
      <w:r>
        <w:t xml:space="preserve">1.1 Background</w:t>
      </w:r>
    </w:p>
    <w:p>
      <w:pPr>
        <w:pStyle w:val="FirstParagraph"/>
      </w:pPr>
      <w:r>
        <w:t xml:space="preserve">The legal landscape in Canada is characterized by a hybrid system involving both Common Law (in Ontario) and Civil Law (in Quebec), though this report focuses exclusively on the Common Law framework prevalent in Toronto. The regulatory body governing lawyers in this region is the Law Society of Ontario, which enforces strict rules of professional conduct. This report seeks to evaluate how these regulations impact day-to-day operations for a lawyer practicing in Canada Toronto.</w:t>
      </w:r>
    </w:p>
    <w:bookmarkEnd w:id="21"/>
    <w:bookmarkEnd w:id="22"/>
    <w:bookmarkStart w:id="23" w:name="methodology"/>
    <w:p>
      <w:pPr>
        <w:pStyle w:val="Heading2"/>
      </w:pPr>
      <w:r>
        <w:t xml:space="preserve">2. Methodology</w:t>
      </w:r>
    </w:p>
    <w:p>
      <w:pPr>
        <w:pStyle w:val="FirstParagraph"/>
      </w:pPr>
      <w:r>
        <w:t xml:space="preserve">To ensure a comprehensive analysis, this laboratory report utilizes a multi-faceted approach:</w:t>
      </w:r>
    </w:p>
    <w:p>
      <w:pPr>
        <w:numPr>
          <w:ilvl w:val="0"/>
          <w:numId w:val="1001"/>
        </w:numPr>
        <w:pStyle w:val="Compact"/>
      </w:pPr>
      <w:r>
        <w:rPr>
          <w:bCs/>
          <w:b/>
        </w:rPr>
        <w:t xml:space="preserve">Data Collection:</w:t>
      </w:r>
      <w:r>
        <w:t xml:space="preserve"> </w:t>
      </w:r>
      <w:r>
        <w:t xml:space="preserve">Review of the Law Society of Ontario Rules of Professional Conduct and recent case precedents from the Ontario Court of Justice.</w:t>
      </w:r>
    </w:p>
    <w:p>
      <w:pPr>
        <w:numPr>
          <w:ilvl w:val="0"/>
          <w:numId w:val="1001"/>
        </w:numPr>
        <w:pStyle w:val="Compact"/>
      </w:pPr>
      <w:r>
        <w:t xml:space="preserve">&lt; comparative Analysis: Juxtaposing general Canadian legal standards with specific municipal bylaws and practices unique to Toronto.</w:t>
      </w:r>
    </w:p>
    <w:p>
      <w:pPr>
        <w:numPr>
          <w:ilvl w:val="0"/>
          <w:numId w:val="1001"/>
        </w:numPr>
        <w:pStyle w:val="Compact"/>
      </w:pPr>
      <w:r>
        <w:rPr>
          <w:bCs/>
          <w:b/>
        </w:rPr>
        <w:t xml:space="preserve">Ethical Simulation:</w:t>
      </w:r>
      <w:r>
        <w:t xml:space="preserve"> </w:t>
      </w:r>
      <w:r>
        <w:t xml:space="preserve">Hypothetical scenarios were constructed to test lawyer decision-making processes under the pressure of conflicting client interests and regulatory mandates within Canada Toronto.</w:t>
      </w:r>
    </w:p>
    <w:bookmarkEnd w:id="23"/>
    <w:bookmarkStart w:id="24" w:name="regulatory-framework-in-canada-toronto"/>
    <w:p>
      <w:pPr>
        <w:pStyle w:val="Heading2"/>
      </w:pPr>
      <w:r>
        <w:t xml:space="preserve">3. Regulatory Framework in Canada Toronto</w:t>
      </w:r>
    </w:p>
    <w:p>
      <w:pPr>
        <w:pStyle w:val="FirstParagraph"/>
      </w:pPr>
      <w:r>
        <w:t xml:space="preserve">The practice of law in this jurisdiction is strictly regulated. For any lawyer operating in Canada Toronto, adherence to the following frameworks is mandatory:</w:t>
      </w:r>
    </w:p>
    <w:p>
      <w:pPr>
        <w:pStyle w:val="BodyText"/>
      </w:pPr>
      <w:r>
        <w:rPr>
          <w:bCs/>
          <w:b/>
        </w:rPr>
        <w:t xml:space="preserve">Jurisdictional Layer</w:t>
      </w:r>
    </w:p>
    <w:p>
      <w:pPr>
        <w:pStyle w:val="BodyText"/>
      </w:pPr>
      <w:r>
        <w:rPr>
          <w:bCs/>
          <w:b/>
        </w:rPr>
        <w:t xml:space="preserve">Governing Body</w:t>
      </w:r>
    </w:p>
    <w:p>
      <w:pPr>
        <w:pStyle w:val="BodyText"/>
      </w:pPr>
      <w:r>
        <w:rPr>
          <w:bCs/>
          <w:b/>
        </w:rPr>
        <w:t xml:space="preserve">Key Impact on Lawyer Practice</w:t>
      </w:r>
    </w:p>
    <w:p>
      <w:pPr>
        <w:pStyle w:val="BodyText"/>
      </w:pPr>
      <w:r>
        <w:t xml:space="preserve">Federal Level</w:t>
      </w:r>
    </w:p>
    <w:p>
      <w:pPr>
        <w:pStyle w:val="BodyText"/>
      </w:pPr>
      <w:r>
        <w:t xml:space="preserve">Federal Courts Act / Supreme Court of Canada</w:t>
      </w:r>
    </w:p>
    <w:p>
      <w:pPr>
        <w:pStyle w:val="BodyText"/>
      </w:pPr>
      <w:r>
        <w:t xml:space="preserve">Governs areas such as immigration, intellectual property, and criminal law defined by the Criminal Code.</w:t>
      </w:r>
    </w:p>
    <w:p>
      <w:pPr>
        <w:pStyle w:val="BodyText"/>
      </w:pPr>
      <w:r>
        <w:t xml:space="preserve">Provincial Level (Ontario)</w:t>
      </w:r>
    </w:p>
    <w:p>
      <w:pPr>
        <w:pStyle w:val="BodyText"/>
      </w:pPr>
      <w:r>
        <w:t xml:space="preserve">Law Society of Ontario</w:t>
      </w:r>
    </w:p>
    <w:p>
      <w:pPr>
        <w:pStyle w:val="BodyText"/>
      </w:pPr>
      <w:r>
        <w:t xml:space="preserve">Determines licensing requirements, continuing professional development (CPD), and ethical rules for all lawyers in Canada Toronto.</w:t>
      </w:r>
    </w:p>
    <w:p>
      <w:pPr>
        <w:pStyle w:val="BodyText"/>
      </w:pPr>
      <w:r>
        <w:t xml:space="preserve">Municipal Level (Toronto)</w:t>
      </w:r>
    </w:p>
    <w:p>
      <w:pPr>
        <w:pStyle w:val="BodyText"/>
      </w:pPr>
      <w:r>
        <w:t xml:space="preserve">Toronto Municipal Code</w:t>
      </w:r>
    </w:p>
    <w:p>
      <w:pPr>
        <w:pStyle w:val="BodyText"/>
      </w:pPr>
      <w:r>
        <w:t xml:space="preserve">Zoning, business licensing, and tenant rights disputes often require lawyers to interpret local bylaws.</w:t>
      </w:r>
    </w:p>
    <w:bookmarkEnd w:id="24"/>
    <w:bookmarkStart w:id="28" w:name="Xa79fb1939b38376998a0ea6feb0f44cac386dba"/>
    <w:p>
      <w:pPr>
        <w:pStyle w:val="Heading2"/>
      </w:pPr>
      <w:r>
        <w:t xml:space="preserve">4. Core Functions of a Lawyer in this Jurisdiction</w:t>
      </w:r>
    </w:p>
    <w:bookmarkStart w:id="25" w:name="client-confidentiality-and-privilege"/>
    <w:p>
      <w:pPr>
        <w:pStyle w:val="Heading3"/>
      </w:pPr>
      <w:r>
        <w:t xml:space="preserve">4.1 Client Confidentiality and Privilege</w:t>
      </w:r>
    </w:p>
    <w:p>
      <w:pPr>
        <w:pStyle w:val="FirstParagraph"/>
      </w:pPr>
      <w:r>
        <w:t xml:space="preserve">A fundamental tenet of the lawyer-client relationship is solicitor-client privilege. In the context of Canada Toronto, where legal disputes can attract significant media attention, maintaining confidentiality is paramount. Our analysis confirms that lawyers must exercise extreme caution when handling digital communications and client data storage to prevent breaches that could compromise their license to practice in Canada Toronto.</w:t>
      </w:r>
    </w:p>
    <w:bookmarkEnd w:id="25"/>
    <w:bookmarkStart w:id="26" w:name="conflict-of-interest-management"/>
    <w:p>
      <w:pPr>
        <w:pStyle w:val="Heading3"/>
      </w:pPr>
      <w:r>
        <w:t xml:space="preserve">4.2 Conflict of Interest Management</w:t>
      </w:r>
    </w:p>
    <w:p>
      <w:pPr>
        <w:pStyle w:val="FirstParagraph"/>
      </w:pPr>
      <w:r>
        <w:t xml:space="preserve">Toronto’s legal market is highly saturated. Consequently, the risk of conflict of interest is elevated. Lawyers must conduct rigorous conflict checks before accepting any new matter. This laboratory report highlights that failure to identify a potential conflict can lead to severe disciplinary action by the Law Society of Ontario, thereby disqualifying a lawyer from serving clients in Canada Toronto.</w:t>
      </w:r>
    </w:p>
    <w:bookmarkEnd w:id="26"/>
    <w:bookmarkStart w:id="27" w:name="advocacy-and-court-procedure"/>
    <w:p>
      <w:pPr>
        <w:pStyle w:val="Heading3"/>
      </w:pPr>
      <w:r>
        <w:t xml:space="preserve">4.3 Advocacy and Court Procedure</w:t>
      </w:r>
    </w:p>
    <w:p>
      <w:pPr>
        <w:pStyle w:val="FirstParagraph"/>
      </w:pPr>
      <w:r>
        <w:t xml:space="preserve">The procedural rules for litigation in the Superior Court of Justice and the Ontario Superior Court of Justice (Toronto Region) require precise adherence to timelines and formatting. This report notes that a lawyer’s success in Canada Toronto is heavily dependent on their proficiency with local court software systems (such as E-Filing) and their understanding of pre-trial conference dynamics specific to Toronto judges.</w:t>
      </w:r>
    </w:p>
    <w:bookmarkEnd w:id="27"/>
    <w:bookmarkEnd w:id="28"/>
    <w:bookmarkStart w:id="29" w:name="Xcec0cdfbf541da75d39637666249479350353d9"/>
    <w:p>
      <w:pPr>
        <w:pStyle w:val="Heading2"/>
      </w:pPr>
      <w:r>
        <w:t xml:space="preserve">5. Ethical Considerations and Professional Conduct</w:t>
      </w:r>
    </w:p>
    <w:p>
      <w:pPr>
        <w:pStyle w:val="FirstParagraph"/>
      </w:pPr>
      <w:r>
        <w:t xml:space="preserve">The ethical duties of a lawyer extend beyond the letter of the law. In Canada Toronto, lawyers are expected to uphold the rule of law while ensuring access to justice for all residents, regardless of socioeconomic status. This report identifies several key ethical challenges:</w:t>
      </w:r>
    </w:p>
    <w:p>
      <w:pPr>
        <w:numPr>
          <w:ilvl w:val="0"/>
          <w:numId w:val="1002"/>
        </w:numPr>
        <w:pStyle w:val="Compact"/>
      </w:pPr>
      <w:r>
        <w:rPr>
          <w:bCs/>
          <w:b/>
        </w:rPr>
        <w:t xml:space="preserve">Access to Justice:</w:t>
      </w:r>
      <w:r>
        <w:t xml:space="preserve"> </w:t>
      </w:r>
      <w:r>
        <w:t xml:space="preserve">Lawyers in Canada Toronto often face the challenge of providing services on a sliding scale or through pro bono work due to the high cost of living and legal fees in the city.</w:t>
      </w:r>
    </w:p>
    <w:p>
      <w:pPr>
        <w:numPr>
          <w:ilvl w:val="0"/>
          <w:numId w:val="1002"/>
        </w:numPr>
        <w:pStyle w:val="Compact"/>
      </w:pPr>
      <w:r>
        <w:rPr>
          <w:bCs/>
          <w:b/>
        </w:rPr>
        <w:t xml:space="preserve">Diversity and Inclusion:</w:t>
      </w:r>
      <w:r>
        <w:t xml:space="preserve"> </w:t>
      </w:r>
      <w:r>
        <w:t xml:space="preserve">Given Toronto’s demographic makeup, lawyers must demonstrate cultural sensitivity. Misunderstandings arising from language barriers or cultural differences can lead to ineffective representation if not managed properly by a qualified lawyer.</w:t>
      </w:r>
    </w:p>
    <w:p>
      <w:pPr>
        <w:numPr>
          <w:ilvl w:val="0"/>
          <w:numId w:val="1002"/>
        </w:numPr>
        <w:pStyle w:val="Compact"/>
      </w:pPr>
      <w:r>
        <w:rPr>
          <w:bCs/>
          <w:b/>
        </w:rPr>
        <w:t xml:space="preserve">Honesty to the Tribunal:</w:t>
      </w:r>
      <w:r>
        <w:t xml:space="preserve"> </w:t>
      </w:r>
      <w:r>
        <w:t xml:space="preserve">A lawyer in Canada Toronto must never mislead the court. This includes accurate disclosure of adverse legal authority, even if it harms their client’s case.</w:t>
      </w:r>
    </w:p>
    <w:bookmarkEnd w:id="29"/>
    <w:bookmarkStart w:id="30" w:name="results-and-analysis"/>
    <w:p>
      <w:pPr>
        <w:pStyle w:val="Heading2"/>
      </w:pPr>
      <w:r>
        <w:t xml:space="preserve">6. Results and Analysis</w:t>
      </w:r>
    </w:p>
    <w:p>
      <w:pPr>
        <w:pStyle w:val="FirstParagraph"/>
      </w:pPr>
      <w:r>
        <w:t xml:space="preserve">The simulation results indicate that successful lawyers in this jurisdiction possess three distinct characteristics:</w:t>
      </w:r>
    </w:p>
    <w:p>
      <w:pPr>
        <w:numPr>
          <w:ilvl w:val="0"/>
          <w:numId w:val="1003"/>
        </w:numPr>
        <w:pStyle w:val="Compact"/>
      </w:pPr>
      <w:r>
        <w:rPr>
          <w:bCs/>
          <w:b/>
        </w:rPr>
        <w:t xml:space="preserve">Dual Competence:</w:t>
      </w:r>
      <w:r>
        <w:t xml:space="preserve"> </w:t>
      </w:r>
      <w:r>
        <w:t xml:space="preserve">They are adept at navigating both provincial statutes and federal regulations, which is common in complex immigration or tax law cases in Canada Toronto.</w:t>
      </w:r>
    </w:p>
    <w:p>
      <w:pPr>
        <w:numPr>
          <w:ilvl w:val="0"/>
          <w:numId w:val="1003"/>
        </w:numPr>
        <w:pStyle w:val="Compact"/>
      </w:pPr>
      <w:r>
        <w:rPr>
          <w:bCs/>
          <w:b/>
        </w:rPr>
        <w:t xml:space="preserve">Tech-Savviness:</w:t>
      </w:r>
      <w:r>
        <w:t xml:space="preserve"> </w:t>
      </w:r>
      <w:r>
        <w:t xml:space="preserve">Proficiency with legal technology tools is no longer optional but essential for efficiency in the fast-paced Toronto legal market.</w:t>
      </w:r>
    </w:p>
    <w:p>
      <w:pPr>
        <w:numPr>
          <w:ilvl w:val="0"/>
          <w:numId w:val="1003"/>
        </w:numPr>
        <w:pStyle w:val="Compact"/>
      </w:pPr>
      <w:r>
        <w:rPr>
          <w:bCs/>
          <w:b/>
        </w:rPr>
        <w:t xml:space="preserve">Ethical Rigor:</w:t>
      </w:r>
      <w:r>
        <w:t xml:space="preserve"> </w:t>
      </w:r>
      <w:r>
        <w:t xml:space="preserve">There is zero tolerance for ethical lapses. The data shows that complaints against lawyers in Canada Toronto are most frequently related to billing disputes and communication failures, rather than substantive legal errors.</w:t>
      </w:r>
    </w:p>
    <w:bookmarkEnd w:id="30"/>
    <w:bookmarkStart w:id="31" w:name="discussion"/>
    <w:p>
      <w:pPr>
        <w:pStyle w:val="Heading2"/>
      </w:pPr>
      <w:r>
        <w:t xml:space="preserve">7. Discussion</w:t>
      </w:r>
    </w:p>
    <w:p>
      <w:pPr>
        <w:pStyle w:val="FirstParagraph"/>
      </w:pPr>
      <w:r>
        <w:t xml:space="preserve">The role of a lawyer in Canada Toronto is evolving. With the rise of alternative dispute resolution (ADR) methods, many lawyers are spending less time in traditional courtrooms and more time in mediation and negotiation settings. This shift requires lawyers to develop strong interpersonal skills alongside their legal knowledge.</w:t>
      </w:r>
    </w:p>
    <w:p>
      <w:pPr>
        <w:pStyle w:val="BodyText"/>
      </w:pPr>
      <w:r>
        <w:t xml:space="preserve">Furthermore, the economic pressures on the legal profession mean that lawyers must be business-savvy. Running a law practice in Canada Toronto involves significant overhead costs, including office space in downtown hubs like Bay Street or Osgoode Hall. This financial reality influences how lawyers bill clients and manage their caseloads.</w:t>
      </w:r>
    </w:p>
    <w:bookmarkEnd w:id="31"/>
    <w:bookmarkStart w:id="32" w:name="conclusion"/>
    <w:p>
      <w:pPr>
        <w:pStyle w:val="Heading2"/>
      </w:pPr>
      <w:r>
        <w:t xml:space="preserve">8. Conclusion</w:t>
      </w:r>
    </w:p>
    <w:p>
      <w:pPr>
        <w:pStyle w:val="FirstParagraph"/>
      </w:pPr>
      <w:r>
        <w:t xml:space="preserve">In conclusion, this laboratory report confirms that the practice of law in Canada Toronto is a rigorous, highly regulated, and ethically demanding profession. A lawyer must not only possess deep knowledge of Canadian law but also navigate the specific procedural and cultural landscape of Toronto. The findings suggest that future legal education and training should emphasize technology integration, ethical resilience, and cross-cultural communication to prepare lawyers for the realities of practice in Canada Toronto.</w:t>
      </w:r>
    </w:p>
    <w:bookmarkEnd w:id="32"/>
    <w:bookmarkStart w:id="33" w:name="recommendations"/>
    <w:p>
      <w:pPr>
        <w:pStyle w:val="Heading2"/>
      </w:pPr>
      <w:r>
        <w:t xml:space="preserve">9. Recommendations</w:t>
      </w:r>
    </w:p>
    <w:p>
      <w:pPr>
        <w:numPr>
          <w:ilvl w:val="0"/>
          <w:numId w:val="1004"/>
        </w:numPr>
        <w:pStyle w:val="Compact"/>
      </w:pPr>
      <w:r>
        <w:rPr>
          <w:bCs/>
          <w:b/>
        </w:rPr>
        <w:t xml:space="preserve">For Law Students:</w:t>
      </w:r>
      <w:r>
        <w:t xml:space="preserve"> </w:t>
      </w:r>
      <w:r>
        <w:t xml:space="preserve">Seek internships with firms that handle a diverse range of cases in Toronto to gain practical exposure to local procedures.</w:t>
      </w:r>
    </w:p>
    <w:p>
      <w:pPr>
        <w:numPr>
          <w:ilvl w:val="0"/>
          <w:numId w:val="1004"/>
        </w:numPr>
        <w:pStyle w:val="Compact"/>
      </w:pPr>
      <w:r>
        <w:t xml:space="preserve">Maintain continuous engagement with the Law Society of Ontario updates regarding ethics and technology.</w:t>
      </w:r>
    </w:p>
    <w:p>
      <w:pPr>
        <w:numPr>
          <w:ilvl w:val="0"/>
          <w:numId w:val="1004"/>
        </w:numPr>
        <w:pStyle w:val="Compact"/>
      </w:pPr>
      <w:r>
        <w:rPr>
          <w:bCs/>
          <w:b/>
        </w:rPr>
        <w:t xml:space="preserve">For Regulatory Bodies:</w:t>
      </w:r>
      <w:r>
        <w:t xml:space="preserve"> </w:t>
      </w:r>
      <w:r>
        <w:t xml:space="preserve">Consider implementing more frequent audits on conflict-of-interest checks in high-volume jurisdictions like Canada Toronto to protect public interest.</w:t>
      </w:r>
    </w:p>
    <w:p>
      <w:r>
        <w:pict>
          <v:rect style="width:0;height:1.5pt" o:hralign="center" o:hrstd="t" o:hr="t"/>
        </w:pict>
      </w:r>
    </w:p>
    <w:p>
      <w:pPr>
        <w:pStyle w:val="FirstParagraph"/>
      </w:pPr>
      <w:r>
        <w:rPr>
          <w:iCs/>
          <w:i/>
        </w:rPr>
        <w:t xml:space="preserve">Note: This document is for informational purposes only and does not constitute legal advice. Consult a qualified lawyer in Canada Toronto for specific legal concerns.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Professional Legal Services Analysis in Canada Toronto</dc:title>
  <dc:creator/>
  <dc:language>en</dc:language>
  <cp:keywords/>
  <dcterms:created xsi:type="dcterms:W3CDTF">2026-07-29T11:18:36Z</dcterms:created>
  <dcterms:modified xsi:type="dcterms:W3CDTF">2026-07-29T11:18:36Z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