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Legal</w:t>
      </w:r>
      <w:r>
        <w:t xml:space="preserve"> </w:t>
      </w:r>
      <w:r>
        <w:t xml:space="preserve">Service</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Vancouver,</w:t>
      </w:r>
      <w:r>
        <w:t xml:space="preserve"> </w:t>
      </w:r>
      <w:r>
        <w:t xml:space="preserve">Canada</w:t>
      </w:r>
    </w:p>
    <w:bookmarkStart w:id="33" w:name="X5bc91d259ca62655cf2737f969f51b2933b1a15"/>
    <w:p>
      <w:pPr>
        <w:pStyle w:val="Heading1"/>
      </w:pPr>
      <w:r>
        <w:t xml:space="preserve">Laboratory Analysis of Legal Practice</w:t>
      </w:r>
      <w:r>
        <w:br/>
      </w:r>
      <w:r>
        <w:t xml:space="preserve">The Function and Methodology of the Lawyer in Vancouver, Canada</w:t>
      </w:r>
    </w:p>
    <w:p>
      <w:pPr>
        <w:pStyle w:val="FirstParagraph"/>
      </w:pPr>
      <w:r>
        <w:t xml:space="preserve">Date: October 26, 2023 | Location: Vancouver, British Columbia | Subject: Comparative Legal Structures and Ethical Compliance</w:t>
      </w:r>
    </w:p>
    <w:bookmarkStart w:id="20" w:name="abstract"/>
    <w:p>
      <w:pPr>
        <w:pStyle w:val="Heading2"/>
      </w:pPr>
      <w:r>
        <w:t xml:space="preserve">Abstract</w:t>
      </w:r>
    </w:p>
    <w:p>
      <w:pPr>
        <w:pStyle w:val="FirstParagraph"/>
      </w:pPr>
      <w:r>
        <w:t xml:space="preserve">This report serves as a comprehensive "Lab Report" analysis of the professional role of the Lawyer within the specific jurisdiction of Canada, with a focused examination on the metropolitan hub of Vancouver. Just as a scientific laboratory isolates variables to understand complex chemical reactions, this document isolates the components of legal practice—statutory interpretation, client advocacy, and procedural adherence—to demonstrate how these elements interact within Canada's dual legal heritage. The study highlights that in Vancouver, Canada, the Lawyer acts not merely as an advocate but as a critical mediator between federal common law principles and provincial statutory frameworks unique to British Columbia.</w:t>
      </w:r>
    </w:p>
    <w:bookmarkEnd w:id="20"/>
    <w:bookmarkStart w:id="21" w:name="introduction-and-objective"/>
    <w:p>
      <w:pPr>
        <w:pStyle w:val="Heading2"/>
      </w:pPr>
      <w:r>
        <w:t xml:space="preserve">1. Introduction and Objective</w:t>
      </w:r>
    </w:p>
    <w:p>
      <w:pPr>
        <w:pStyle w:val="FirstParagraph"/>
      </w:pPr>
      <w:r>
        <w:t xml:space="preserve">The objective of this laboratory-style inquiry is to deconstruct the operational mechanics of a Lawyer operating in Canada, specifically within the city of Vancouver. Vancouver represents a unique legal ecosystem due to its multicultural demographics, high property values, and proximity to natural resources which often trigger specific land-use regulations. Therefore, understanding the Lawyer’s role requires an examination of how they navigate these complexities. In this context, "Lawyer" is defined not just as a job title but as a certified officer of the court under the authority of the Law Society of British Columbia (LSBC). The scope of this report includes civil litigation, family law, and real estate transactions, which are prevalent areas of practice in Vancouver.</w:t>
      </w:r>
    </w:p>
    <w:bookmarkEnd w:id="21"/>
    <w:bookmarkStart w:id="24" w:name="methodology-the-legal-framework"/>
    <w:p>
      <w:pPr>
        <w:pStyle w:val="Heading2"/>
      </w:pPr>
      <w:r>
        <w:t xml:space="preserve">2. Methodology: The Legal Framework</w:t>
      </w:r>
    </w:p>
    <w:p>
      <w:pPr>
        <w:pStyle w:val="FirstParagraph"/>
      </w:pPr>
      <w:r>
        <w:t xml:space="preserve">In a traditional science lab experiment, methodology refers to the procedures used to conduct the test. In our analysis of the Lawyer in Canada Vancouver, the "methodology" is defined by the statutory and regulatory bodies that govern legal practice. Unlike some jurisdictions where national bars oversee all lawyers, Canada’s legal system is federalist. Consequently, while criminal law is governed by federal statutes (the</w:t>
      </w:r>
      <w:r>
        <w:t xml:space="preserve"> </w:t>
      </w:r>
      <w:r>
        <w:rPr>
          <w:iCs/>
          <w:i/>
        </w:rPr>
        <w:t xml:space="preserve">Criminal Code</w:t>
      </w:r>
      <w:r>
        <w:t xml:space="preserve">), most civil matters are under provincial jurisdiction.</w:t>
      </w:r>
    </w:p>
    <w:bookmarkStart w:id="22" w:name="regulatory-oversight-in-british-columbia"/>
    <w:p>
      <w:pPr>
        <w:pStyle w:val="Heading3"/>
      </w:pPr>
      <w:r>
        <w:t xml:space="preserve">2.1 Regulatory Oversight in British Columbia</w:t>
      </w:r>
    </w:p>
    <w:p>
      <w:pPr>
        <w:pStyle w:val="FirstParagraph"/>
      </w:pPr>
      <w:r>
        <w:t xml:space="preserve">The primary instrument of control for a Lawyer in Vancouver is the Law Society of British Columbia. This body establishes the Rules of Professional Conduct, which serve as the "safety protocols" for our legal laboratory. Any deviation from these rules can result in disciplinary action, mirroring how contamination or protocol violation ruins a scientific experiment. The Lawyer must adhere strictly to confidentiality obligations (Solicitor-Client Privilege), competence standards, and conflict of interest checks.</w:t>
      </w:r>
    </w:p>
    <w:bookmarkEnd w:id="22"/>
    <w:bookmarkStart w:id="23" w:name="the-dual-legal-system"/>
    <w:p>
      <w:pPr>
        <w:pStyle w:val="Heading3"/>
      </w:pPr>
      <w:r>
        <w:t xml:space="preserve">2.2 The Dual Legal System</w:t>
      </w:r>
    </w:p>
    <w:p>
      <w:pPr>
        <w:pStyle w:val="FirstParagraph"/>
      </w:pPr>
      <w:r>
        <w:t xml:space="preserve">A critical variable in this analysis is the coexistence of Common Law and Civil Law traditions in Canada. While Quebec operates under a civil code system derived from France, British Columbia (and thus Vancouver) operates strictly under the English Common Law tradition inherited from British colonial history. The Lawyer must demonstrate proficiency in case law precedents set by the Supreme Court of Canada as well as local decisions made by the BC Supreme Court and Provincial Court.</w:t>
      </w:r>
    </w:p>
    <w:bookmarkEnd w:id="23"/>
    <w:bookmarkEnd w:id="24"/>
    <w:bookmarkStart w:id="28" w:name="observations-key-functions-of-the-lawyer"/>
    <w:p>
      <w:pPr>
        <w:pStyle w:val="Heading2"/>
      </w:pPr>
      <w:r>
        <w:t xml:space="preserve">3. Observations: Key Functions of the Lawyer</w:t>
      </w:r>
    </w:p>
    <w:p>
      <w:pPr>
        <w:pStyle w:val="FirstParagraph"/>
      </w:pPr>
      <w:r>
        <w:t xml:space="preserve">The following observations detail how a Lawyer functions in Vancouver, categorized by key areas of legal practice that define the local market.</w:t>
      </w:r>
    </w:p>
    <w:bookmarkStart w:id="25" w:name="real-estate-and-land-use-law"/>
    <w:p>
      <w:pPr>
        <w:pStyle w:val="Heading3"/>
      </w:pPr>
      <w:r>
        <w:t xml:space="preserve">3.1 Real Estate and Land Use Law</w:t>
      </w:r>
    </w:p>
    <w:p>
      <w:pPr>
        <w:pStyle w:val="FirstParagraph"/>
      </w:pPr>
      <w:r>
        <w:t xml:space="preserve">Vancouver is renowned for its intense real estate market. The Lawyer plays a pivotal role in transactional law, ensuring that property transfers comply with the</w:t>
      </w:r>
      <w:r>
        <w:t xml:space="preserve"> </w:t>
      </w:r>
      <w:r>
        <w:rPr>
          <w:iCs/>
          <w:i/>
        </w:rPr>
        <w:t xml:space="preserve">Land Title Act</w:t>
      </w:r>
      <w:r>
        <w:t xml:space="preserve"> </w:t>
      </w:r>
      <w:r>
        <w:t xml:space="preserve">of British Columbia. In this capacity, the Lawyer acts as a risk mitigator, conducting title searches to identify liens or encumbrances on properties. This is particularly complex in Vancouver due to heritage designation laws and zoning bylaws enforced by the City of Vancouver. The failure to identify these issues can lead to catastrophic financial losses for clients, highlighting the necessity of precise legal "lab work."</w:t>
      </w:r>
    </w:p>
    <w:bookmarkEnd w:id="25"/>
    <w:bookmarkStart w:id="26" w:name="family-law-dynamics"/>
    <w:p>
      <w:pPr>
        <w:pStyle w:val="Heading3"/>
      </w:pPr>
      <w:r>
        <w:t xml:space="preserve">3.2 Family Law Dynamics</w:t>
      </w:r>
    </w:p>
    <w:p>
      <w:pPr>
        <w:pStyle w:val="FirstParagraph"/>
      </w:pPr>
      <w:r>
        <w:t xml:space="preserve">Family law constitutes a significant portion of practice in Canada Vancouver. Under the federal</w:t>
      </w:r>
      <w:r>
        <w:t xml:space="preserve"> </w:t>
      </w:r>
      <w:r>
        <w:rPr>
          <w:iCs/>
          <w:i/>
        </w:rPr>
        <w:t xml:space="preserve">Divorce Act</w:t>
      </w:r>
      <w:r>
        <w:t xml:space="preserve">, disputes regarding divorce are handled federally, but issues regarding child custody, spousal support, and division of family property are governed by provincial laws such as the</w:t>
      </w:r>
      <w:r>
        <w:t xml:space="preserve"> </w:t>
      </w:r>
      <w:r>
        <w:rPr>
          <w:iCs/>
          <w:i/>
        </w:rPr>
        <w:t xml:space="preserve">Family Law Act</w:t>
      </w:r>
      <w:r>
        <w:t xml:space="preserve">. The Lawyer’s role here is often more akin to a counselor than an adversarial litigator. The focus is on mediation and alternative dispute resolution (ADR). In Vancouver’s high-cost-of-living environment, preserving assets through fair division while ensuring the welfare of children requires nuanced legal strategy.</w:t>
      </w:r>
    </w:p>
    <w:bookmarkEnd w:id="26"/>
    <w:bookmarkStart w:id="27" w:name="immigration-and-refugee-law"/>
    <w:p>
      <w:pPr>
        <w:pStyle w:val="Heading3"/>
      </w:pPr>
      <w:r>
        <w:t xml:space="preserve">3.3 Immigration and Refugee Law</w:t>
      </w:r>
    </w:p>
    <w:p>
      <w:pPr>
        <w:pStyle w:val="FirstParagraph"/>
      </w:pPr>
      <w:r>
        <w:t xml:space="preserve">Vancouver is a primary gateway for immigrants entering Canada. Many Lawyers in this region specialize in immigration law, navigating the complexities of the</w:t>
      </w:r>
      <w:r>
        <w:t xml:space="preserve"> </w:t>
      </w:r>
      <w:r>
        <w:rPr>
          <w:iCs/>
          <w:i/>
        </w:rPr>
        <w:t xml:space="preserve">Immigration and Refugee Protection Act</w:t>
      </w:r>
      <w:r>
        <w:t xml:space="preserve">. This area requires meticulous attention to detail, as missing a deadline or failing to provide correct documentation can result in deportation or inadmissibility. The Lawyer must act as an advocate before Immigration, Refugees and Citizenship Canada (IRCC), providing evidence and legal arguments that meet the stringent standards of Canadian federal law.</w:t>
      </w:r>
    </w:p>
    <w:bookmarkEnd w:id="27"/>
    <w:bookmarkEnd w:id="28"/>
    <w:bookmarkStart w:id="29" w:name="Xcd9a8dce1241fe932213e0f651e72a3546b40d3"/>
    <w:p>
      <w:pPr>
        <w:pStyle w:val="Heading2"/>
      </w:pPr>
      <w:r>
        <w:t xml:space="preserve">4. Data Analysis: Challenges in the Vancouver Market</w:t>
      </w:r>
    </w:p>
    <w:p>
      <w:pPr>
        <w:pStyle w:val="FirstParagraph"/>
      </w:pPr>
      <w:r>
        <w:t xml:space="preserve">An analysis of current trends in Canada’s West Coast reveals several challenges facing Lawyers. The cost of legal services is a significant barrier to access for many residents in Vancouver. Recognizing this, the Law Society has introduced initiatives such as unlicensed legal practitioners (Paralegals) in specific areas like small claims court and tribunal representation. This shifts the traditional monopoly of the Lawyer but also changes how clients access justice.</w:t>
      </w:r>
    </w:p>
    <w:p>
      <w:pPr>
        <w:pStyle w:val="BodyText"/>
      </w:pPr>
      <w:r>
        <w:t xml:space="preserve">Furthermore, technological disruption is changing how a Lawyer operates. In Vancouver, there is a growing adoption of Virtual Courts and online dispute resolution platforms due to the digital infrastructure of Canadian cities. The modern Lawyer must be tech-savvy, capable of managing electronic filing systems and securing digital client data in compliance with privacy laws like PIPA (Personal Information Protection Act) in British Columbia.</w:t>
      </w:r>
    </w:p>
    <w:bookmarkEnd w:id="29"/>
    <w:bookmarkStart w:id="30" w:name="X98e82213ade9a385cc2f419557d39a8cb5fd42c"/>
    <w:p>
      <w:pPr>
        <w:pStyle w:val="Heading2"/>
      </w:pPr>
      <w:r>
        <w:t xml:space="preserve">5. Discussion: Ethical Considerations and Social Responsibility</w:t>
      </w:r>
    </w:p>
    <w:p>
      <w:pPr>
        <w:pStyle w:val="FirstParagraph"/>
      </w:pPr>
      <w:r>
        <w:t xml:space="preserve">The role of the Lawyer extends beyond mere technical proficiency; it encompasses a duty to the administration of justice. In Vancouver, this includes a growing emphasis on reconciliation with Indigenous peoples. Many lawyers are engaging with Aboriginal law, addressing issues related to title claims and treaty rights under Section 35 of the</w:t>
      </w:r>
      <w:r>
        <w:t xml:space="preserve"> </w:t>
      </w:r>
      <w:r>
        <w:rPr>
          <w:iCs/>
          <w:i/>
        </w:rPr>
        <w:t xml:space="preserve">Constitution Act, 1982</w:t>
      </w:r>
      <w:r>
        <w:t xml:space="preserve">. This requires Lawyers to possess cultural competency and an understanding of how common law intersects with Indigenous legal traditions.</w:t>
      </w:r>
    </w:p>
    <w:p>
      <w:pPr>
        <w:pStyle w:val="BodyText"/>
      </w:pPr>
      <w:r>
        <w:t xml:space="preserve">Mental health is another critical aspect discussed in this report. The legal profession globally faces high rates of burnout, and the competitive nature of the Vancouver market exacerbates these pressures. Law firms are increasingly implementing wellness programs, acknowledging that a healthy Lawyer is essential for providing effective service to clients in Canada.</w:t>
      </w:r>
    </w:p>
    <w:bookmarkEnd w:id="30"/>
    <w:bookmarkStart w:id="31" w:name="conclusion"/>
    <w:p>
      <w:pPr>
        <w:pStyle w:val="Heading2"/>
      </w:pPr>
      <w:r>
        <w:t xml:space="preserve">6. Conclusion</w:t>
      </w:r>
    </w:p>
    <w:p>
      <w:pPr>
        <w:pStyle w:val="FirstParagraph"/>
      </w:pPr>
      <w:r>
        <w:t xml:space="preserve">In conclusion, this Lab Report demonstrates that the Lawyer in Vancouver, Canada, operates within a highly regulated and complex framework. The interaction between federal criminal statutes and provincial civil laws creates a unique environment where precision and ethical adherence are paramount. Whether dealing with high-stakes real estate transactions in downtown Vancouver or navigating family law disputes in suburban communities, the Lawyer serves as an essential component of social stability.</w:t>
      </w:r>
    </w:p>
    <w:p>
      <w:pPr>
        <w:pStyle w:val="BodyText"/>
      </w:pPr>
      <w:r>
        <w:t xml:space="preserve">The analysis confirms that effective legal practice requires more than knowledge of statutes; it demands an understanding of local context, ethical responsibility, and adaptability to technological and social changes. As Canada’s West Coast continues to evolve demographically and economically, the role of the Lawyer will remain dynamic, requiring continuous learning and rigorous adherence to professional standards set by the Law Society of British Columbia.</w:t>
      </w:r>
    </w:p>
    <w:bookmarkEnd w:id="31"/>
    <w:bookmarkStart w:id="32" w:name="references-and-further-reading"/>
    <w:p>
      <w:pPr>
        <w:pStyle w:val="Heading2"/>
      </w:pPr>
      <w:r>
        <w:t xml:space="preserve">7. References and Further Reading</w:t>
      </w:r>
    </w:p>
    <w:p>
      <w:pPr>
        <w:numPr>
          <w:ilvl w:val="0"/>
          <w:numId w:val="1001"/>
        </w:numPr>
        <w:pStyle w:val="Compact"/>
      </w:pPr>
      <w:r>
        <w:rPr>
          <w:iCs/>
          <w:i/>
        </w:rPr>
        <w:t xml:space="preserve">The Constitution Act, 1867</w:t>
      </w:r>
      <w:r>
        <w:t xml:space="preserve">. Parliament of Canada.</w:t>
      </w:r>
    </w:p>
    <w:p>
      <w:pPr>
        <w:numPr>
          <w:ilvl w:val="0"/>
          <w:numId w:val="1001"/>
        </w:numPr>
        <w:pStyle w:val="Compact"/>
      </w:pPr>
      <w:r>
        <w:rPr>
          <w:iCs/>
          <w:i/>
        </w:rPr>
        <w:t xml:space="preserve">The Criminal Code</w:t>
      </w:r>
      <w:r>
        <w:t xml:space="preserve">, R.S.C., 1985, c. C-46.</w:t>
      </w:r>
    </w:p>
    <w:p>
      <w:pPr>
        <w:numPr>
          <w:ilvl w:val="0"/>
          <w:numId w:val="1001"/>
        </w:numPr>
        <w:pStyle w:val="Compact"/>
      </w:pPr>
      <w:r>
        <w:t xml:space="preserve">Law Society of British Columbia. (2023).</w:t>
      </w:r>
      <w:r>
        <w:t xml:space="preserve"> </w:t>
      </w:r>
      <w:r>
        <w:rPr>
          <w:iCs/>
          <w:i/>
        </w:rPr>
        <w:t xml:space="preserve">Rules of Professional Conduct and Conduct Rules</w:t>
      </w:r>
      <w:r>
        <w:t xml:space="preserve">.</w:t>
      </w:r>
    </w:p>
    <w:p>
      <w:pPr>
        <w:numPr>
          <w:ilvl w:val="0"/>
          <w:numId w:val="1001"/>
        </w:numPr>
        <w:pStyle w:val="Compact"/>
      </w:pPr>
      <w:r>
        <w:rPr>
          <w:iCs/>
          <w:i/>
        </w:rPr>
        <w:t xml:space="preserve">The Family Law Act</w:t>
      </w:r>
      <w:r>
        <w:t xml:space="preserve">, S.B.C. 2011, c. 25.</w:t>
      </w:r>
    </w:p>
    <w:p>
      <w:pPr>
        <w:numPr>
          <w:ilvl w:val="0"/>
          <w:numId w:val="1001"/>
        </w:numPr>
        <w:pStyle w:val="Compact"/>
      </w:pPr>
      <w:r>
        <w:rPr>
          <w:iCs/>
          <w:i/>
        </w:rPr>
        <w:t xml:space="preserve">The Immigration and Refugee Protection Act</w:t>
      </w:r>
      <w:r>
        <w:t xml:space="preserve">, S.C. 2001, c. 27.</w:t>
      </w:r>
    </w:p>
    <w:bookmarkEnd w:id="32"/>
    <w:p>
      <w:pPr>
        <w:pStyle w:val="FirstParagraph"/>
      </w:pPr>
      <w:r>
        <w:t xml:space="preserve">End of Report | Generated for Educational Purposes in Vancouver, Canada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Service Analysis: The Role of the Lawyer in Vancouver, Canada</dc:title>
  <dc:creator/>
  <dc:language>en</dc:language>
  <cp:keywords/>
  <dcterms:created xsi:type="dcterms:W3CDTF">2026-07-29T13:20:33Z</dcterms:created>
  <dcterms:modified xsi:type="dcterms:W3CDTF">2026-07-29T13:20:33Z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