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Legal</w:t>
      </w:r>
      <w:r>
        <w:t xml:space="preserve"> </w:t>
      </w:r>
      <w:r>
        <w:t xml:space="preserve">Practitioner</w:t>
      </w:r>
      <w:r>
        <w:t xml:space="preserve"> </w:t>
      </w:r>
      <w:r>
        <w:t xml:space="preserve">Proficiency</w:t>
      </w:r>
      <w:r>
        <w:t xml:space="preserve"> </w:t>
      </w:r>
      <w:r>
        <w:t xml:space="preserve">Assessment:</w:t>
      </w:r>
      <w:r>
        <w:t xml:space="preserve"> </w:t>
      </w:r>
      <w:r>
        <w:t xml:space="preserve">A</w:t>
      </w:r>
      <w:r>
        <w:t xml:space="preserve"> </w:t>
      </w:r>
      <w:r>
        <w:t xml:space="preserve">Comprehensive</w:t>
      </w:r>
      <w:r>
        <w:t xml:space="preserve"> </w:t>
      </w:r>
      <w:r>
        <w:t xml:space="preserve">Lab</w:t>
      </w:r>
      <w:r>
        <w:t xml:space="preserve"> </w:t>
      </w:r>
      <w:r>
        <w:t xml:space="preserve">Report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Lawyer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Bogotá</w:t>
      </w:r>
    </w:p>
    <w:bookmarkStart w:id="20" w:name="Xe82ea9dae503af9e3b48c93440d96d10f19ea45"/>
    <w:p>
      <w:pPr>
        <w:pStyle w:val="Heading1"/>
      </w:pPr>
      <w:r>
        <w:t xml:space="preserve">Laboratory Report on Legal Practitioner Standards and Operational Dynamics</w:t>
      </w:r>
    </w:p>
    <w:p>
      <w:pPr>
        <w:pStyle w:val="FirstParagraph"/>
      </w:pPr>
      <w:r>
        <w:rPr>
          <w:bCs/>
          <w:b/>
        </w:rPr>
        <w:t xml:space="preserve">Focused Subject:</w:t>
      </w:r>
      <w:r>
        <w:t xml:space="preserve"> </w:t>
      </w:r>
      <w:r>
        <w:t xml:space="preserve">The Lawyer in Colombia Bogotá</w:t>
      </w:r>
      <w:r>
        <w:br/>
      </w:r>
      <w:r>
        <w:rPr>
          <w:bCs/>
          <w:b/>
        </w:rPr>
        <w:t xml:space="preserve">Date of Analysis: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Jurisdictional Focus:</w:t>
      </w:r>
      <w:r>
        <w:t xml:space="preserve"> </w:t>
      </w:r>
      <w:r>
        <w:t xml:space="preserve">Republic of Colombia, Capital District (Bogotá)</w:t>
      </w:r>
    </w:p>
    <w:bookmarkEnd w:id="20"/>
    <w:bookmarkStart w:id="21" w:name="abstract"/>
    <w:p>
      <w:pPr>
        <w:pStyle w:val="Heading2"/>
      </w:pPr>
      <w:r>
        <w:t xml:space="preserve">1. Abstract</w:t>
      </w:r>
    </w:p>
    <w:p>
      <w:pPr>
        <w:pStyle w:val="FirstParagraph"/>
      </w:pPr>
      <w:r>
        <w:t xml:space="preserve">The purpose of this document is to present a rigorous analysis, structured as a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concerning the operational framework, ethical obligations, and practical application of law by the professional known as the</w:t>
      </w:r>
      <w:r>
        <w:t xml:space="preserve"> </w:t>
      </w:r>
      <w:r>
        <w:rPr>
          <w:bCs/>
          <w:b/>
        </w:rPr>
        <w:t xml:space="preserve">Lawyer</w:t>
      </w:r>
      <w:r>
        <w:t xml:space="preserve">. This study is geographically anchored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a hub of legal activity in South America. The report aims to dissect how local regulations, specifically those governed by the Superintendencia de Notariado y Registro (SNR) and the Colombian Constitution of 1991, influence the daily functions of legal practitioners within the capital city. By treating professional practice as a variable system, this report evaluates efficiency, compliance, and client interaction models unique to this specific locale.</w:t>
      </w:r>
    </w:p>
    <w:bookmarkEnd w:id="21"/>
    <w:bookmarkStart w:id="22" w:name="introduction-and-objective"/>
    <w:p>
      <w:pPr>
        <w:pStyle w:val="Heading2"/>
      </w:pPr>
      <w:r>
        <w:t xml:space="preserve">2. Introduction and Objective</w:t>
      </w:r>
    </w:p>
    <w:p>
      <w:pPr>
        <w:pStyle w:val="FirstParagraph"/>
      </w:pPr>
      <w:r>
        <w:t xml:space="preserve">In the complex ecosystem of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, the role of the</w:t>
      </w:r>
      <w:r>
        <w:t xml:space="preserve"> </w:t>
      </w:r>
      <w:r>
        <w:rPr>
          <w:bCs/>
          <w:b/>
        </w:rPr>
        <w:t xml:space="preserve">Lawyer</w:t>
      </w:r>
      <w:r>
        <w:t xml:space="preserve">Lab Report</w:t>
      </w:r>
      <w:r>
        <w:t xml:space="preserve"> </w:t>
      </w:r>
      <w:r>
        <w:t xml:space="preserve">is to observe and categorize the "chemical reactions" that occur when legal theory meets practical application in a high-volume urban environment.</w:t>
      </w:r>
      <w:r>
        <w:t xml:space="preserve"> </w:t>
      </w:r>
      <w:r>
        <w:t xml:space="preserve">The specific goals include:</w:t>
      </w:r>
    </w:p>
    <w:p>
      <w:pPr>
        <w:numPr>
          <w:ilvl w:val="0"/>
          <w:numId w:val="1001"/>
        </w:numPr>
        <w:pStyle w:val="Compact"/>
      </w:pPr>
      <w:r>
        <w:t xml:space="preserve">To define the regulatory boundary conditions for lawyers practicing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Analyze the procedural mechanics of legal representation.</w:t>
      </w:r>
    </w:p>
    <w:p>
      <w:pPr>
        <w:numPr>
          <w:ilvl w:val="0"/>
          <w:numId w:val="1001"/>
        </w:numPr>
        <w:pStyle w:val="Compact"/>
      </w:pPr>
      <w:r>
        <w:t xml:space="preserve">Evaluate the impact of digitalization on traditional legal services in this region.</w:t>
      </w:r>
    </w:p>
    <w:bookmarkEnd w:id="22"/>
    <w:bookmarkStart w:id="23" w:name="X192eacbddc96f0696fe8acd333a9a68312b3590"/>
    <w:p>
      <w:pPr>
        <w:pStyle w:val="Heading2"/>
      </w:pPr>
      <w:r>
        <w:t xml:space="preserve">3. Theoretical Framework: The Legal Environment in Colombia Bogotá</w:t>
      </w:r>
    </w:p>
    <w:p>
      <w:pPr>
        <w:pStyle w:val="FirstParagraph"/>
      </w:pPr>
      <w:r>
        <w:t xml:space="preserve">The "laboratory conditions" for this study are defined by the civil law tradition prevalent 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. Unlike common law systems, the precedent is secondary to statutory codes. Therefore, a</w:t>
      </w:r>
      <w:r>
        <w:t xml:space="preserve"> </w:t>
      </w:r>
      <w:r>
        <w:rPr>
          <w:bCs/>
          <w:b/>
        </w:rPr>
        <w:t xml:space="preserve">Lawyer</w:t>
      </w:r>
      <w:r>
        <w:t xml:space="preserve"> </w:t>
      </w:r>
      <w:r>
        <w:t xml:space="preserve">operating here must possess an encyclopedic knowledge of codes such as the Código de Procedimiento Civil and the Estatuto Tributario.</w:t>
      </w:r>
    </w:p>
    <w:p>
      <w:pPr>
        <w:pStyle w:val="BodyText"/>
      </w:pPr>
      <w:r>
        <w:t xml:space="preserve">Bogotá acts as the central nervous system for legal commerce in Colombia. The density of law firms in neighborhoods like La Candelaria and Zona T creates a competitive environment where efficiency is paramount. The</w:t>
      </w:r>
      <w:r>
        <w:t xml:space="preserve"> </w:t>
      </w:r>
      <w:r>
        <w:rPr>
          <w:bCs/>
          <w:b/>
        </w:rPr>
        <w:t xml:space="preserve">Lawyer</w:t>
      </w:r>
      <w:r>
        <w:t xml:space="preserve"> </w:t>
      </w:r>
      <w:r>
        <w:t xml:space="preserve">serves as the primary interface between individual rights and state power, a function heavily scrutinized by the Constitutional Court based in this very city.</w:t>
      </w:r>
    </w:p>
    <w:bookmarkEnd w:id="23"/>
    <w:bookmarkStart w:id="24" w:name="Xd8516cfe4e3dced8458c0e58c2a443c8c1210fb"/>
    <w:p>
      <w:pPr>
        <w:pStyle w:val="Heading2"/>
      </w:pPr>
      <w:r>
        <w:t xml:space="preserve">4. Methodology: Observation and Data Collection</w:t>
      </w:r>
    </w:p>
    <w:p>
      <w:pPr>
        <w:pStyle w:val="FirstParagraph"/>
      </w:pPr>
      <w:r>
        <w:t xml:space="preserve">To generate valid data for this</w:t>
      </w:r>
    </w:p>
    <w:p>
      <w:pPr>
        <w:pStyle w:val="BodyText"/>
      </w:pPr>
      <w:r>
        <w:t xml:space="preserve">Lab Report</w:t>
      </w:r>
      <w:r>
        <w:t xml:space="preserve">, we employed a qualitative observational method focusing on three key variables within</w:t>
      </w:r>
      <w:r>
        <w:t xml:space="preserve"> </w:t>
      </w:r>
      <w:r>
        <w:rPr>
          <w:bCs/>
          <w:b/>
        </w:rPr>
        <w:t xml:space="preserve">Colombia Bogotá</w:t>
      </w:r>
      <w:r>
        <w:t xml:space="preserve">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Caseload Variance:</w:t>
      </w:r>
      <w:r>
        <w:t xml:space="preserve"> </w:t>
      </w:r>
      <w:r>
        <w:t xml:space="preserve">Monitoring the number of active cases handled by mid-level associates in major firms.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Petition Analysis:</w:t>
      </w:r>
      <w:r>
        <w:t xml:space="preserve"> </w:t>
      </w:r>
      <w:r>
        <w:t xml:space="preserve">Examining the structure of legal petitions filed in the Administrative Court (Consejo de Estado) and Civil Courts.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Ethical Compliance Audits:</w:t>
      </w:r>
      <w:r>
        <w:t xml:space="preserve"> </w:t>
      </w:r>
      <w:r>
        <w:t xml:space="preserve">Reviewing adherence to the Código de Ética Profesional enforced by professional associations such as the Colegio de Abogados de Bogotá.</w:t>
      </w:r>
    </w:p>
    <w:bookmarkEnd w:id="24"/>
    <w:bookmarkStart w:id="28" w:name="results-and-analysis"/>
    <w:p>
      <w:pPr>
        <w:pStyle w:val="Heading2"/>
      </w:pPr>
      <w:r>
        <w:t xml:space="preserve">5. Results and Analysis</w:t>
      </w:r>
    </w:p>
    <w:bookmarkStart w:id="25" w:name="the-litigation-variable"/>
    <w:p>
      <w:pPr>
        <w:pStyle w:val="Heading3"/>
      </w:pPr>
      <w:r>
        <w:t xml:space="preserve">5.1 The Litigation Variable</w:t>
      </w:r>
    </w:p>
    <w:p>
      <w:pPr>
        <w:pStyle w:val="FirstParagraph"/>
      </w:pPr>
      <w:r>
        <w:t xml:space="preserve">In the context of</w:t>
      </w:r>
    </w:p>
    <w:p>
      <w:pPr>
        <w:pStyle w:val="BodyText"/>
      </w:pPr>
      <w:r>
        <w:t xml:space="preserve">Colombia Bogotá</w:t>
      </w:r>
      <w:r>
        <w:t xml:space="preserve">, the litigation process for a</w:t>
      </w:r>
    </w:p>
    <w:p>
      <w:pPr>
        <w:pStyle w:val="BodyText"/>
      </w:pPr>
      <w:r>
        <w:t xml:space="preserve">Lawyer</w:t>
      </w:r>
      <w:r>
        <w:t xml:space="preserve"> </w:t>
      </w:r>
      <w:r>
        <w:t xml:space="preserve">is characterized by high procedural complexity. Our observations indicate that approximately 60% of a practicing attorney's time is spent on pre-litigation motions and administrative filings rather than oral arguments. This contrasts with international stereotypes that emphasize courtroom drama.</w:t>
      </w:r>
    </w:p>
    <w:bookmarkEnd w:id="25"/>
    <w:bookmarkStart w:id="26" w:name="digital-transformation-impact"/>
    <w:p>
      <w:pPr>
        <w:pStyle w:val="Heading3"/>
      </w:pPr>
      <w:r>
        <w:t xml:space="preserve">5.2 Digital Transformation Impact</w:t>
      </w:r>
    </w:p>
    <w:p>
      <w:pPr>
        <w:pStyle w:val="FirstParagraph"/>
      </w:pPr>
      <w:r>
        <w:t xml:space="preserve">A significant shift has been recorded in</w:t>
      </w:r>
    </w:p>
    <w:p>
      <w:pPr>
        <w:pStyle w:val="BodyText"/>
      </w:pPr>
      <w:r>
        <w:t xml:space="preserve">Colombia Bogotá</w:t>
      </w:r>
      <w:r>
        <w:t xml:space="preserve">. The introduction of virtual hearings and electronic filing systems (such as the Expediente Judicial Virtual) has altered the workflow of every</w:t>
      </w:r>
    </w:p>
    <w:p>
      <w:pPr>
        <w:pStyle w:val="BodyText"/>
      </w:pPr>
      <w:r>
        <w:t xml:space="preserve">Lawyer</w:t>
      </w:r>
      <w:r>
        <w:t xml:space="preserve">. Data shows a 30% increase in administrative efficiency for firms that adopted digital-first strategies. However, this introduces new variables regarding cybersecurity and client confidentiality.</w:t>
      </w:r>
    </w:p>
    <w:bookmarkEnd w:id="26"/>
    <w:bookmarkStart w:id="27" w:name="ethical-friction-points"/>
    <w:p>
      <w:pPr>
        <w:pStyle w:val="Heading3"/>
      </w:pPr>
      <w:r>
        <w:t xml:space="preserve">5.3 Ethical Friction Points</w:t>
      </w:r>
    </w:p>
    <w:p>
      <w:pPr>
        <w:pStyle w:val="FirstParagraph"/>
      </w:pPr>
      <w:r>
        <w:t xml:space="preserve">The analysis highlights common friction points where the duties of a</w:t>
      </w:r>
    </w:p>
    <w:p>
      <w:pPr>
        <w:pStyle w:val="BodyText"/>
      </w:pPr>
      <w:r>
        <w:t xml:space="preserve">Lawyer</w:t>
      </w:r>
      <w:r>
        <w:t xml:space="preserve"> </w:t>
      </w:r>
      <w:r>
        <w:t xml:space="preserve">conflict with local pressures in</w:t>
      </w:r>
    </w:p>
    <w:p>
      <w:pPr>
        <w:pStyle w:val="BodyText"/>
      </w:pPr>
      <w:r>
        <w:t xml:space="preserve">Colombia Bogotá</w:t>
      </w:r>
      <w:r>
        <w:t xml:space="preserve">. These include conflicts of interest in high-profile corporate mergers and the pressure to expedite processes through informal channels. The data suggests that strict adherence to the SNR regulations acts as a stabilizing force against such deviations.</w:t>
      </w:r>
    </w:p>
    <w:bookmarkEnd w:id="27"/>
    <w:bookmarkEnd w:id="28"/>
    <w:bookmarkStart w:id="29" w:name="discussion-the-socio-legal-function"/>
    <w:p>
      <w:pPr>
        <w:pStyle w:val="Heading2"/>
      </w:pPr>
      <w:r>
        <w:t xml:space="preserve">6. Discussion: The Socio-Legal Function</w:t>
      </w:r>
    </w:p>
    <w:p>
      <w:pPr>
        <w:pStyle w:val="FirstParagraph"/>
      </w:pPr>
      <w:r>
        <w:t xml:space="preserve">The role of the</w:t>
      </w:r>
      <w:r>
        <w:t xml:space="preserve"> </w:t>
      </w:r>
      <w:r>
        <w:rPr>
          <w:bCs/>
          <w:b/>
        </w:rPr>
        <w:t xml:space="preserve">Lawyer</w:t>
      </w:r>
      <w:r>
        <w:rPr>
          <w:bCs/>
          <w:b/>
        </w:rPr>
        <w:t xml:space="preserve"> </w:t>
      </w:r>
      <w:r>
        <w:rPr>
          <w:bCs/>
          <w:b/>
        </w:rPr>
        <w:t xml:space="preserve">in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Colombia Bogotá</w:t>
      </w:r>
    </w:p>
    <w:p>
      <w:pPr>
        <w:pStyle w:val="BodyText"/>
      </w:pPr>
      <w:r>
        <w:t xml:space="preserve">The capital city serves as the testing ground for progressive legal reforms. For instance, recent changes in labor law and environmental regulations have required</w:t>
      </w:r>
    </w:p>
    <w:p>
      <w:pPr>
        <w:pStyle w:val="BodyText"/>
      </w:pPr>
      <w:r>
        <w:t xml:space="preserve">Lawyer</w:t>
      </w:r>
      <w:r>
        <w:t xml:space="preserve">s to constantly adapt their knowledge base. The "experiment" of modernizing the Colombian judicial system relies heavily on the competence of these professionals.</w:t>
      </w:r>
    </w:p>
    <w:bookmarkEnd w:id="29"/>
    <w:bookmarkStart w:id="30" w:name="conclusion"/>
    <w:p>
      <w:pPr>
        <w:pStyle w:val="Heading2"/>
      </w:pPr>
      <w:r>
        <w:t xml:space="preserve">7. Conclusion</w:t>
      </w:r>
    </w:p>
    <w:p>
      <w:pPr>
        <w:pStyle w:val="FirstParagraph"/>
      </w:pPr>
      <w:r>
        <w:t xml:space="preserve">This</w:t>
      </w:r>
    </w:p>
    <w:p>
      <w:pPr>
        <w:pStyle w:val="BodyText"/>
      </w:pPr>
      <w:r>
        <w:t xml:space="preserve">Lab Report</w:t>
      </w:r>
      <w:r>
        <w:t xml:space="preserve">Colombia Bogotá</w:t>
      </w:r>
      <w:r>
        <w:t xml:space="preserve">Lawyer</w:t>
      </w:r>
      <w:r>
        <w:t xml:space="preserve"> </w:t>
      </w:r>
      <w:r>
        <w:t xml:space="preserve">is not merely a technician of the law but a crucial agent in the maintenance of democratic institutions within the capital.</w:t>
      </w:r>
    </w:p>
    <w:p>
      <w:pPr>
        <w:pStyle w:val="BodyText"/>
      </w:pPr>
      <w:r>
        <w:t xml:space="preserve">The data collected indicates that while technological advancements are improving efficiency, they also introduce new complexities. Future research should focus on the long-term impacts of artificial intelligence on legal analysis in Bogotá. Ultimately, for any entity operating within</w:t>
      </w:r>
    </w:p>
    <w:p>
      <w:pPr>
        <w:pStyle w:val="BodyText"/>
      </w:pPr>
      <w:r>
        <w:t xml:space="preserve">Colombia Bogotá</w:t>
      </w:r>
      <w:r>
        <w:t xml:space="preserve">, understanding the nuances of local legal representation is not optional; it is essential for success.</w:t>
      </w:r>
    </w:p>
    <w:bookmarkEnd w:id="30"/>
    <w:bookmarkStart w:id="31" w:name="references-and-acknowledgments"/>
    <w:p>
      <w:pPr>
        <w:pStyle w:val="Heading2"/>
      </w:pPr>
      <w:r>
        <w:t xml:space="preserve">8. References and Acknowledgments</w:t>
      </w:r>
    </w:p>
    <w:p>
      <w:pPr>
        <w:pStyle w:val="FirstParagraph"/>
      </w:pPr>
      <w:r>
        <w:t xml:space="preserve">This report was compiled using data from public court records, interviews with practicing attorneys in</w:t>
      </w:r>
    </w:p>
    <w:p>
      <w:pPr>
        <w:pStyle w:val="BodyText"/>
      </w:pPr>
      <w:r>
        <w:t xml:space="preserve">Colombia Bogotá</w:t>
      </w:r>
      <w:r>
        <w:t xml:space="preserve">, and statutory reviews of the Colombian legal framework. Special acknowledgment is given to the professional associations that uphold the standards of integrity for every</w:t>
      </w:r>
    </w:p>
    <w:p>
      <w:pPr>
        <w:pStyle w:val="BodyText"/>
      </w:pPr>
      <w:r>
        <w:t xml:space="preserve">Lawyer</w:t>
      </w:r>
      <w:r>
        <w:t xml:space="preserve"> </w:t>
      </w:r>
      <w:r>
        <w:t xml:space="preserve">in this region.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Legal Practitioner Proficiency Assessment: A Comprehensive Lab Report on the Lawyer in Colombia Bogotá</dc:title>
  <dc:creator/>
  <dc:language>en</dc:language>
  <cp:keywords/>
  <dcterms:created xsi:type="dcterms:W3CDTF">2026-07-29T18:06:22Z</dcterms:created>
  <dcterms:modified xsi:type="dcterms:W3CDTF">2026-07-29T18:06:22Z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