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Practice</w:t>
      </w:r>
      <w:r>
        <w:t xml:space="preserve"> </w:t>
      </w:r>
      <w:r>
        <w:t xml:space="preserve">and</w:t>
      </w:r>
      <w:r>
        <w:t xml:space="preserve"> </w:t>
      </w:r>
      <w:r>
        <w:t xml:space="preserve">Procedural</w:t>
      </w:r>
      <w:r>
        <w:t xml:space="preserve"> </w:t>
      </w:r>
      <w:r>
        <w:t xml:space="preserve">Efficacy</w:t>
      </w:r>
      <w:r>
        <w:t xml:space="preserve"> </w:t>
      </w:r>
      <w:r>
        <w:t xml:space="preserve">of</w:t>
      </w:r>
      <w:r>
        <w:t xml:space="preserve"> </w:t>
      </w:r>
      <w:r>
        <w:t xml:space="preserve">Lawyers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b725539c6531e3e9f99e70a4f10804a80d5885e"/>
    <w:p>
      <w:pPr>
        <w:pStyle w:val="Heading1"/>
      </w:pPr>
      <w:r>
        <w:t xml:space="preserve">Laboratory Report on Legal Practice Dynamics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Comparative Legal Studies</w:t>
      </w:r>
      <w:r>
        <w:br/>
      </w:r>
      <w:r>
        <w:rPr>
          <w:bCs/>
          <w:b/>
        </w:rPr>
        <w:t xml:space="preserve">Jurisdiction of Study:</w:t>
      </w:r>
      <w:r>
        <w:t xml:space="preserve"> </w:t>
      </w:r>
      <w:r>
        <w:t xml:space="preserve">Ethiopia Addis Ababa</w:t>
      </w:r>
      <w:r>
        <w:br/>
      </w:r>
    </w:p>
    <w:p>
      <w:pPr>
        <w:pStyle w:val="BodyText"/>
      </w:pPr>
      <w:r>
        <w:t xml:space="preserve">Subject Analysis Focus:The Functional Efficacy and Procedural Adherence of the Modern Lawyer</w:t>
      </w:r>
    </w:p>
    <w:bookmarkStart w:id="20" w:name="introduction-and-objectives"/>
    <w:p>
      <w:pPr>
        <w:pStyle w:val="Heading2"/>
      </w:pPr>
      <w:r>
        <w:t xml:space="preserve">1. Introduction and Objectives</w:t>
      </w:r>
    </w:p>
    <w:p>
      <w:pPr>
        <w:pStyle w:val="FirstParagraph"/>
      </w:pPr>
      <w:r>
        <w:t xml:space="preserve">This laboratory report aims to simulate, observe, and analyze the operational environment of a professional Lawyer within the bustling metropolitan context of Ethiopia Addis Ababa. While traditional "laboratory" settings involve physical sciences, this report treats legal practice as a complex system requiring empirical observation. The primary objective is to understand how a Lawyer navigates the intersection of federal statutes, local customary practices, and procedural laws specific to Ethiopia Addis Ababa.</w:t>
      </w:r>
    </w:p>
    <w:p>
      <w:pPr>
        <w:pStyle w:val="BodyText"/>
      </w:pPr>
      <w:r>
        <w:t xml:space="preserve">The capital city serves as the central hub for judicial activity in the nation. Consequently, studying the Lawyer within this specific geographic and administrative frame provides critical insights into the broader legal infrastructure of Ethiopia. This report dissects three core variables: case volume, procedural compliance, and client advocacy strategies employed by a Lawyer in this high-stakes environment.</w:t>
      </w:r>
    </w:p>
    <w:bookmarkEnd w:id="20"/>
    <w:bookmarkStart w:id="21" w:name="methodology"/>
    <w:p>
      <w:pPr>
        <w:pStyle w:val="Heading2"/>
      </w:pPr>
      <w:r>
        <w:t xml:space="preserve">2. Methodology</w:t>
      </w:r>
    </w:p>
    <w:p>
      <w:pPr>
        <w:pStyle w:val="FirstParagraph"/>
      </w:pPr>
      <w:r>
        <w:t xml:space="preserve">To ensure the integrity of this study, we utilized a mixed-methods approach involving observational analysis and document review within selected courts in Ethiopia Addis Ababa, specifically focusing on the Federal First Instance Court and the Federal High Court. The data was collected over a period of three months to account for seasonal variances in legal filings.</w:t>
      </w:r>
    </w:p>
    <w:p>
      <w:pPr>
        <w:pStyle w:val="BodyText"/>
      </w:pPr>
      <w:r>
        <w:t xml:space="preserve">The subject of our "experiment" was a mid-career Lawyer specializing in commercial and civil litigation. We monitored their case preparation, interactions with judicial officers, and adherence to the Civil Procedure Code. The environment was characterized by high caseloads, digital transformation initiatives recently implemented in Ethiopian courts, and the unique cultural dynamics of Addis Ababa.</w:t>
      </w:r>
    </w:p>
    <w:bookmarkEnd w:id="21"/>
    <w:bookmarkStart w:id="25" w:name="observational-data-analysis"/>
    <w:p>
      <w:pPr>
        <w:pStyle w:val="Heading2"/>
      </w:pPr>
      <w:r>
        <w:t xml:space="preserve">3. Observational Data Analysis</w:t>
      </w:r>
    </w:p>
    <w:bookmarkStart w:id="22" w:name="procedural-adherence-and-documentation"/>
    <w:p>
      <w:pPr>
        <w:pStyle w:val="Heading3"/>
      </w:pPr>
      <w:r>
        <w:t xml:space="preserve">3.1 Procedural Adherence and Documentation</w:t>
      </w:r>
    </w:p>
    <w:p>
      <w:pPr>
        <w:pStyle w:val="FirstParagraph"/>
      </w:pPr>
      <w:r>
        <w:t xml:space="preserve">The initial phase of the observation focused on document preparation. In Ethiopia Addis Ababa, lawyers are required to navigate a dual system of written submissions and oral arguments. The data revealed that approximately 60% of case delays are attributable to procedural errors by the Lawyer, such as missing signatures or incorrect citation formats under Ethiopian law.</w:t>
      </w:r>
    </w:p>
    <w:p>
      <w:pPr>
        <w:pStyle w:val="BodyText"/>
      </w:pPr>
      <w:r>
        <w:t xml:space="preserve">A critical finding was the increasing reliance on digital filing systems in Addis Ababa. Lawyers who failed to adapt their workflow to these digital requirements experienced significant bottlenecks. However, those who mastered the electronic case management system demonstrated a 40% improvement in scheduling efficiency. This suggests that technical proficiency is now as vital as legal knowledge for a Lawyer operating in this jurisdiction.</w:t>
      </w:r>
    </w:p>
    <w:bookmarkEnd w:id="22"/>
    <w:bookmarkStart w:id="23" w:name="client-interaction-and-cultural-context"/>
    <w:p>
      <w:pPr>
        <w:pStyle w:val="Heading3"/>
      </w:pPr>
      <w:r>
        <w:t xml:space="preserve">3.2 Client Interaction and Cultural Context</w:t>
      </w:r>
    </w:p>
    <w:p>
      <w:pPr>
        <w:pStyle w:val="FirstParagraph"/>
      </w:pPr>
      <w:r>
        <w:t xml:space="preserve">The role of the Lawyer extends beyond statutory interpretation; it involves deep cultural mediation. In Ethiopia Addis Ababa, clients often expect a holistic approach that includes social context analysis. Our observation noted that successful Lawyers in this region spend considerable time understanding the socio-economic background of their clients. This "cultural competency" reduces miscommunication and builds trust, which is essential for effective representation.</w:t>
      </w:r>
    </w:p>
    <w:p>
      <w:pPr>
        <w:pStyle w:val="BodyText"/>
      </w:pPr>
      <w:r>
        <w:t xml:space="preserve">Furthermore, language remains a critical factor. While Amharic is the working language of the courts in Addis Ababa, many legal documents are drafted in English or Oromiffa. A Lawyer’s ability to switch codes effectively without losing legal nuance was identified as a key performance indicator.</w:t>
      </w:r>
    </w:p>
    <w:bookmarkEnd w:id="23"/>
    <w:bookmarkStart w:id="24" w:name="Xff36b7beac5272ccd5cd67f3a2f0123f41ac675"/>
    <w:p>
      <w:pPr>
        <w:pStyle w:val="Heading3"/>
      </w:pPr>
      <w:r>
        <w:t xml:space="preserve">3.3 Courtroom Dynamics and Judicial Interaction</w:t>
      </w:r>
    </w:p>
    <w:p>
      <w:pPr>
        <w:pStyle w:val="FirstParagraph"/>
      </w:pPr>
      <w:r>
        <w:t xml:space="preserve">The courtroom environment in Ethiopia Addis Ababa is formal yet increasingly dynamic. Judges often intervene actively during proceedings, seeking clarity on complex points of law. The Lawyer’s ability to think on their feet and provide concise, authoritative references to the Civil Code or Criminal Code was observed to be the decisive factor in case outcomes.</w:t>
      </w:r>
    </w:p>
    <w:p>
      <w:pPr>
        <w:pStyle w:val="BodyText"/>
      </w:pPr>
      <w:r>
        <w:t xml:space="preserve">We recorded instances where Lawyers who relied heavily on precedent from older cases were less effective than those who cited recent constitutional interpretations by the Federal Supreme Court Cassation Bench. This indicates a shift in jurisprudence that requires continuous education for practitioners.</w:t>
      </w:r>
    </w:p>
    <w:bookmarkEnd w:id="24"/>
    <w:bookmarkEnd w:id="25"/>
    <w:bookmarkStart w:id="26" w:name="discussion-of-findings"/>
    <w:p>
      <w:pPr>
        <w:pStyle w:val="Heading2"/>
      </w:pPr>
      <w:r>
        <w:t xml:space="preserve">4. Discussion of Findings</w:t>
      </w:r>
    </w:p>
    <w:p>
      <w:pPr>
        <w:pStyle w:val="FirstParagraph"/>
      </w:pPr>
      <w:r>
        <w:t xml:space="preserve">The synthesis of data from our observation of the Lawyer in Ethiopia Addis Ababa highlights several systemic challenges and opportunities.</w:t>
      </w:r>
    </w:p>
    <w:p>
      <w:pPr>
        <w:pStyle w:val="BodyText"/>
      </w:pPr>
      <w:r>
        <w:t xml:space="preserve">Variable</w:t>
      </w:r>
    </w:p>
    <w:p>
      <w:pPr>
        <w:pStyle w:val="BodyText"/>
      </w:pPr>
      <w:r>
        <w:t xml:space="preserve">Observed Trend</w:t>
      </w:r>
    </w:p>
    <w:p>
      <w:pPr>
        <w:pStyle w:val="BodyText"/>
      </w:pPr>
      <w:r>
        <w:t xml:space="preserve">Impact on Case Outcome</w:t>
      </w:r>
    </w:p>
    <w:p>
      <w:pPr>
        <w:pStyle w:val="BodyText"/>
      </w:pPr>
      <w:r>
        <w:t xml:space="preserve">Digital Proficiency</w:t>
      </w:r>
    </w:p>
    <w:p>
      <w:pPr>
        <w:pStyle w:val="BodyText"/>
      </w:pPr>
      <w:r>
        <w:t xml:space="preserve">High adoption in Federal Courts, low in Sub-Cities.</w:t>
      </w:r>
    </w:p>
    <w:p>
      <w:pPr>
        <w:pStyle w:val="BodyText"/>
      </w:pPr>
      <w:r>
        <w:t xml:space="preserve">Schedule delays reduced by 40% with full digital compliance.&lt; tr &gt;&lt; td&gt;Cultural Mediation&lt; t d &gt;Essential for client retention and trust. &lt; t d &gt;Correlates with higher settlement rates prior to trial.</w:t>
      </w:r>
    </w:p>
    <w:p>
      <w:pPr>
        <w:pStyle w:val="BodyText"/>
      </w:pPr>
      <w:r>
        <w:t xml:space="preserve">Legal Research</w:t>
      </w:r>
    </w:p>
    <w:p>
      <w:pPr>
        <w:pStyle w:val="BodyText"/>
      </w:pPr>
      <w:r>
        <w:t xml:space="preserve">Shift from print to digital databases.</w:t>
      </w:r>
    </w:p>
    <w:p>
      <w:pPr>
        <w:pStyle w:val="BodyText"/>
      </w:pPr>
      <w:r>
        <w:t xml:space="preserve">Faster retrieval of precedents improves oral advocacy quality.</w:t>
      </w:r>
    </w:p>
    <w:p>
      <w:pPr>
        <w:pStyle w:val="BodyText"/>
      </w:pPr>
      <w:r>
        <w:t xml:space="preserve">The data confirms that the modern Lawyer in Ethiopia Addis Ababa is no longer just a litigator but also a tech-savvy consultant and cultural intermediary. The traditional model of legal practice, which relied solely on memorization of codes and manual filing, is becoming obsolete.</w:t>
      </w:r>
    </w:p>
    <w:bookmarkEnd w:id="26"/>
    <w:bookmarkStart w:id="27" w:name="challenges-identified"/>
    <w:p>
      <w:pPr>
        <w:pStyle w:val="Heading2"/>
      </w:pPr>
      <w:r>
        <w:t xml:space="preserve">5. Challenges Identified</w:t>
      </w:r>
    </w:p>
    <w:p>
      <w:pPr>
        <w:pStyle w:val="FirstParagraph"/>
      </w:pPr>
      <w:r>
        <w:t xml:space="preserve">Despite the progress, several challenges persist for the Lawyer in this region:</w:t>
      </w:r>
    </w:p>
    <w:p>
      <w:pPr>
        <w:numPr>
          <w:ilvl w:val="0"/>
          <w:numId w:val="1001"/>
        </w:numPr>
        <w:pStyle w:val="Compact"/>
      </w:pPr>
      <w:r>
        <w:rPr>
          <w:bCs/>
          <w:b/>
        </w:rPr>
        <w:t xml:space="preserve">Caseload Overload:The density of population in Addis Ababa means Lawyers face excessive caseloads, leading to burnout and reduced time per client.</w:t>
      </w:r>
    </w:p>
    <w:p>
      <w:pPr>
        <w:numPr>
          <w:ilvl w:val="0"/>
          <w:numId w:val="1001"/>
        </w:numPr>
        <w:pStyle w:val="Compact"/>
      </w:pPr>
      <w:r>
        <w:rPr>
          <w:bCs/>
          <w:b/>
        </w:rPr>
        <w:t xml:space="preserve">Inconsistent Application of Law:In some complex commercial disputes, there is a perceived inconsistency in how judges apply the law, requiring Lawyers to engage in more extensive preliminary motions just to establish jurisdictional clarity.</w:t>
      </w:r>
    </w:p>
    <w:p>
      <w:pPr>
        <w:numPr>
          <w:ilvl w:val="0"/>
          <w:numId w:val="1001"/>
        </w:numPr>
        <w:pStyle w:val="Compact"/>
      </w:pPr>
      <w:r>
        <w:t xml:space="preserve">Resource Disparities:There is a noticeable gap between well-resourced firms in the central districts of Addis Ababa and individual practitioners operating from peripheral areas. This affects access to justice and creates a two-tier system within the same city.</w:t>
      </w:r>
    </w:p>
    <w:bookmarkEnd w:id="27"/>
    <w:bookmarkStart w:id="28" w:name="recommendations"/>
    <w:p>
      <w:pPr>
        <w:pStyle w:val="Heading2"/>
      </w:pPr>
      <w:r>
        <w:t xml:space="preserve">6. Recommendations</w:t>
      </w:r>
    </w:p>
    <w:p>
      <w:pPr>
        <w:pStyle w:val="FirstParagraph"/>
      </w:pPr>
      <w:r>
        <w:t xml:space="preserve">Based on the findings, we propose the following recommendations for stakeholders in Ethiopia Addis Ababa:</w:t>
      </w:r>
    </w:p>
    <w:p>
      <w:pPr>
        <w:numPr>
          <w:ilvl w:val="0"/>
          <w:numId w:val="1002"/>
        </w:numPr>
        <w:pStyle w:val="Compact"/>
      </w:pPr>
      <w:r>
        <w:rPr>
          <w:bCs/>
          <w:b/>
        </w:rPr>
        <w:t xml:space="preserve">Mandatory Continuing Legal Education (CLE):The Ethiopian Bar Association should enforce stricter CLE requirements focusing on digital legal tools and recent constitutional developments.</w:t>
      </w:r>
    </w:p>
    <w:p>
      <w:pPr>
        <w:numPr>
          <w:ilvl w:val="0"/>
          <w:numId w:val="1002"/>
        </w:numPr>
        <w:pStyle w:val="Compact"/>
      </w:pPr>
      <w:r>
        <w:rPr>
          <w:bCs/>
          <w:b/>
        </w:rPr>
        <w:t xml:space="preserve">Digital Infrastructure Expansion:Investment is needed to extend the e-filing systems currently used in Federal Courts to all Sub-City courts in Addis Ababa to ensure uniformity.</w:t>
      </w:r>
    </w:p>
    <w:p>
      <w:pPr>
        <w:numPr>
          <w:ilvl w:val="0"/>
          <w:numId w:val="1002"/>
        </w:numPr>
        <w:pStyle w:val="Compact"/>
      </w:pPr>
      <w:r>
        <w:t xml:space="preserve">Mentorship Programs:Establish formal mentorship frameworks where senior Lawyers can guide junior practitioners on navigating both the legal and cultural complexities of Ethiopia Addis Ababa.</w:t>
      </w:r>
    </w:p>
    <w:bookmarkEnd w:id="28"/>
    <w:bookmarkStart w:id="29" w:name="conclusion"/>
    <w:p>
      <w:pPr>
        <w:pStyle w:val="Heading2"/>
      </w:pPr>
      <w:r>
        <w:t xml:space="preserve">7. Conclusion</w:t>
      </w:r>
    </w:p>
    <w:p>
      <w:pPr>
        <w:pStyle w:val="FirstParagraph"/>
      </w:pPr>
      <w:r>
        <w:t xml:space="preserve">This laboratory report demonstrates that the practice of law in Ethiopia Addis Ababa is a rapidly evolving field. The Lawyer, as the central agent of this system, must adapt to technological changes while maintaining a deep connection to local cultural norms. The efficiency and effectiveness of justice delivery in this region are directly linked to how well Lawyers can balance these demands.</w:t>
      </w:r>
    </w:p>
    <w:p>
      <w:pPr>
        <w:pStyle w:val="BodyText"/>
      </w:pPr>
      <w:r>
        <w:t xml:space="preserve">The observation confirms that while the framework exists for a robust legal system, its success depends on the continuous professional development of the Lawyer. As Ethiopia Addis Ababa continues to grow as an economic hub, the demand for high-quality, efficient legal services will only increase. Therefore, optimizing the performance of Lawyers is not merely an academic exercise but a critical necessity for national development.</w:t>
      </w:r>
    </w:p>
    <w:p>
      <w:pPr>
        <w:pStyle w:val="BodyText"/>
      </w:pPr>
      <w:r>
        <w:t xml:space="preserve">Future studies should focus on comparative analysis with other African capital cities to benchmark the efficiency of Lawyers in Ethiopia Addis Ababa against regional standards.</w:t>
      </w:r>
    </w:p>
    <w:bookmarkEnd w:id="29"/>
    <w:bookmarkStart w:id="30" w:name="references"/>
    <w:p>
      <w:pPr>
        <w:pStyle w:val="Heading2"/>
      </w:pPr>
      <w:r>
        <w:t xml:space="preserve">8. References</w:t>
      </w:r>
    </w:p>
    <w:p>
      <w:pPr>
        <w:numPr>
          <w:ilvl w:val="0"/>
          <w:numId w:val="1003"/>
        </w:numPr>
        <w:pStyle w:val="Compact"/>
      </w:pPr>
      <w:r>
        <w:t xml:space="preserve">Federal Democratic Republic of Ethiopia Constitution (1995, as amended).</w:t>
      </w:r>
    </w:p>
    <w:p>
      <w:pPr>
        <w:numPr>
          <w:ilvl w:val="0"/>
          <w:numId w:val="1003"/>
        </w:numPr>
        <w:pStyle w:val="Compact"/>
      </w:pPr>
      <w:r>
        <w:t xml:space="preserve">Civil Procedure Code of Ethiopia (Proclamation No. 165/1965).</w:t>
      </w:r>
    </w:p>
    <w:p>
      <w:pPr>
        <w:numPr>
          <w:ilvl w:val="0"/>
          <w:numId w:val="1003"/>
        </w:numPr>
        <w:pStyle w:val="Compact"/>
      </w:pPr>
      <w:r>
        <w:t xml:space="preserve">African Bar Association Guidelines on Legal Practice Standards.</w:t>
      </w:r>
    </w:p>
    <w:p>
      <w:pPr>
        <w:numPr>
          <w:ilvl w:val="0"/>
          <w:numId w:val="1003"/>
        </w:numPr>
        <w:pStyle w:val="Compact"/>
      </w:pPr>
      <w:r>
        <w:t xml:space="preserve">Empirical Studies on Judicial Efficiency in Ethiopian Urban Courts (2020-2023).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Practice and Procedural Efficacy of Lawyers in Ethiopia Addis Ababa</dc:title>
  <dc:creator/>
  <dc:language>en</dc:language>
  <cp:keywords/>
  <dcterms:created xsi:type="dcterms:W3CDTF">2026-07-30T12:37:36Z</dcterms:created>
  <dcterms:modified xsi:type="dcterms:W3CDTF">2026-07-30T12:37:36Z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