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Service</w:t>
      </w:r>
      <w:r>
        <w:t xml:space="preserve"> </w:t>
      </w:r>
      <w:r>
        <w:t xml:space="preserve">Provision</w:t>
      </w:r>
      <w:r>
        <w:t xml:space="preserve"> </w:t>
      </w:r>
      <w:r>
        <w:t xml:space="preserve">in</w:t>
      </w:r>
      <w:r>
        <w:t xml:space="preserve"> </w:t>
      </w:r>
      <w:r>
        <w:t xml:space="preserve">Germany</w:t>
      </w:r>
      <w:r>
        <w:t xml:space="preserve"> </w:t>
      </w:r>
      <w:r>
        <w:t xml:space="preserve">Berlin</w:t>
      </w:r>
    </w:p>
    <w:bookmarkStart w:id="36" w:name="Xfc68fddde1bf2d7a599d35ffb8051da9b5b37f1"/>
    <w:p>
      <w:pPr>
        <w:pStyle w:val="Heading1"/>
      </w:pPr>
      <w:r>
        <w:t xml:space="preserve">Laboratory Report on the Efficacy and Regulation of Legal Representation in Germany Berlin</w:t>
      </w:r>
    </w:p>
    <w:bookmarkStart w:id="20" w:name="date"/>
    <w:p>
      <w:pPr>
        <w:pStyle w:val="Heading2"/>
      </w:pPr>
      <w:r>
        <w:t xml:space="preserve">Date:</w:t>
      </w:r>
    </w:p>
    <w:p>
      <w:pPr>
        <w:pStyle w:val="FirstParagraph"/>
      </w:pPr>
      <w:r>
        <w:rPr>
          <w:bCs/>
          <w:b/>
        </w:rPr>
        <w:t xml:space="preserve">[Insert Current Date]</w:t>
      </w:r>
    </w:p>
    <w:bookmarkEnd w:id="20"/>
    <w:bookmarkStart w:id="21" w:name="institution"/>
    <w:p>
      <w:pPr>
        <w:pStyle w:val="Heading2"/>
      </w:pPr>
      <w:r>
        <w:t xml:space="preserve">Institution:</w:t>
      </w:r>
    </w:p>
    <w:p>
      <w:pPr>
        <w:pStyle w:val="FirstParagraph"/>
      </w:pPr>
      <w:r>
        <w:t xml:space="preserve">Berlin Institute for Jurisprudence and Social Dynamics</w:t>
      </w:r>
    </w:p>
    <w:bookmarkEnd w:id="21"/>
    <w:bookmarkStart w:id="22" w:name="X7f0b4e9c38e5692c20805b2516671b9228859cd"/>
    <w:p>
      <w:pPr>
        <w:pStyle w:val="Heading2"/>
      </w:pPr>
      <w:r>
        <w:t xml:space="preserve">Title: An Empirical Analysis of Lawyer Functionality within the German Legal Framework in Berlin</w:t>
      </w:r>
    </w:p>
    <w:bookmarkEnd w:id="22"/>
    <w:bookmarkStart w:id="23" w:name="abstract"/>
    <w:p>
      <w:pPr>
        <w:pStyle w:val="Heading3"/>
      </w:pPr>
      <w:r>
        <w:t xml:space="preserve">1. Abstract</w:t>
      </w:r>
    </w:p>
    <w:p>
      <w:pPr>
        <w:pStyle w:val="FirstParagraph"/>
      </w:pPr>
      <w:r>
        <w:t xml:space="preserve">This lab report serves as a comprehensive documentation of the operational mechanics, regulatory environment, and practical efficacy of lawyers practicing in Germany Berlin. The primary objective is to analyze how legal professionals navigate the complex intersection of federal German law (Bundesrecht) and local Berlin jurisdictional nuances. By treating legal practice as a variable system subject to rigorous observation, this document elucidates the critical role of the lawyer in ensuring procedural justice, protecting civil rights, and facilitating commercial transactions within one of Europe’s most dynamic capitals.</w:t>
      </w:r>
    </w:p>
    <w:bookmarkEnd w:id="23"/>
    <w:bookmarkStart w:id="24" w:name="introduction"/>
    <w:p>
      <w:pPr>
        <w:pStyle w:val="Heading3"/>
      </w:pPr>
      <w:r>
        <w:t xml:space="preserve">2. Introduction</w:t>
      </w:r>
    </w:p>
    <w:p>
      <w:pPr>
        <w:pStyle w:val="FirstParagraph"/>
      </w:pPr>
      <w:r>
        <w:t xml:space="preserve">The concept of a</w:t>
      </w:r>
      <w:r>
        <w:t xml:space="preserve"> </w:t>
      </w:r>
      <w:r>
        <w:rPr>
          <w:bCs/>
          <w:b/>
        </w:rPr>
        <w:t xml:space="preserve">Lawyer</w:t>
      </w:r>
      <w:r>
        <w:t xml:space="preserve"> </w:t>
      </w:r>
      <w:r>
        <w:t xml:space="preserve">is central to the rule of law in any democratic society. However, the specific implementation of legal counsel varies significantly across borders and regions. In</w:t>
      </w:r>
      <w:r>
        <w:t xml:space="preserve"> </w:t>
      </w:r>
      <w:r>
        <w:rPr>
          <w:bCs/>
          <w:b/>
        </w:rPr>
        <w:t xml:space="preserve">Germany Berlin</w:t>
      </w:r>
      <w:r>
        <w:t xml:space="preserve">, the legal landscape is characterized by a high degree of formalization, strict adherence to statutory codes (particularly the Bürgerliches Gesetzbuch or BGB), and a robust professional regulatory body known as Rechtsanwaltskammer.</w:t>
      </w:r>
    </w:p>
    <w:p>
      <w:pPr>
        <w:pStyle w:val="BodyText"/>
      </w:pPr>
      <w:r>
        <w:t xml:space="preserve">This report aims to dissect the "experiment" of legal service provision in this specific geographic and cultural context. The hypothesis posited for this analysis is that lawyers in</w:t>
      </w:r>
      <w:r>
        <w:t xml:space="preserve"> </w:t>
      </w:r>
      <w:r>
        <w:rPr>
          <w:bCs/>
          <w:b/>
        </w:rPr>
        <w:t xml:space="preserve">Germany Berlin</w:t>
      </w:r>
      <w:r>
        <w:t xml:space="preserve"> </w:t>
      </w:r>
      <w:r>
        <w:t xml:space="preserve">operate under a stricter ethical and procedural framework compared to common law jurisdictions, requiring a meticulous approach to client representation, evidence submission, and court procedure.</w:t>
      </w:r>
    </w:p>
    <w:bookmarkEnd w:id="24"/>
    <w:bookmarkStart w:id="25" w:name="methodology-observational-framework"/>
    <w:p>
      <w:pPr>
        <w:pStyle w:val="Heading3"/>
      </w:pPr>
      <w:r>
        <w:t xml:space="preserve">3. Methodology: Observational Framework</w:t>
      </w:r>
    </w:p>
    <w:p>
      <w:pPr>
        <w:pStyle w:val="FirstParagraph"/>
      </w:pPr>
      <w:r>
        <w:t xml:space="preserve">To ensure the validity of this lab report regarding</w:t>
      </w:r>
      <w:r>
        <w:t xml:space="preserve"> </w:t>
      </w:r>
      <w:r>
        <w:rPr>
          <w:bCs/>
          <w:b/>
        </w:rPr>
        <w:t xml:space="preserve">Lawyer</w:t>
      </w:r>
      <w:r>
        <w:t xml:space="preserve"> </w:t>
      </w:r>
      <w:r>
        <w:t xml:space="preserve">practices in</w:t>
      </w:r>
      <w:r>
        <w:t xml:space="preserve"> </w:t>
      </w:r>
      <w:r>
        <w:rPr>
          <w:bCs/>
          <w:b/>
        </w:rPr>
        <w:t xml:space="preserve">Germany Berlin</w:t>
      </w:r>
      <w:r>
        <w:t xml:space="preserve">, several parameters were observed:</w:t>
      </w:r>
    </w:p>
    <w:p>
      <w:pPr>
        <w:numPr>
          <w:ilvl w:val="0"/>
          <w:numId w:val="1001"/>
        </w:numPr>
        <w:pStyle w:val="Compact"/>
      </w:pPr>
      <w:r>
        <w:rPr>
          <w:bCs/>
          <w:b/>
        </w:rPr>
        <w:t xml:space="preserve">Jurisdictional Analysis:</w:t>
      </w:r>
      <w:r>
        <w:t xml:space="preserve"> </w:t>
      </w:r>
      <w:r>
        <w:t xml:space="preserve">Examination of the Landesrecht (state law) applicable specifically to Berlin versus federal mandates.</w:t>
      </w:r>
    </w:p>
    <w:p>
      <w:pPr>
        <w:numPr>
          <w:ilvl w:val="0"/>
          <w:numId w:val="1001"/>
        </w:numPr>
        <w:pStyle w:val="Compact"/>
      </w:pPr>
      <w:r>
        <w:rPr>
          <w:bCs/>
          <w:b/>
        </w:rPr>
        <w:t xml:space="preserve">Professional Ethics Review:</w:t>
      </w:r>
      <w:r>
        <w:t xml:space="preserve"> </w:t>
      </w:r>
      <w:r>
        <w:t xml:space="preserve">Assessment of the Bundesrechtsanwaltsordnung (BRAO).</w:t>
      </w:r>
    </w:p>
    <w:p>
      <w:pPr>
        <w:numPr>
          <w:ilvl w:val="0"/>
          <w:numId w:val="1001"/>
        </w:numPr>
        <w:pStyle w:val="Compact"/>
      </w:pPr>
      <w:r>
        <w:rPr>
          <w:bCs/>
          <w:b/>
        </w:rPr>
        <w:t xml:space="preserve">Court Procedure Simulation:</w:t>
      </w:r>
      <w:r>
        <w:t xml:space="preserve"> </w:t>
      </w:r>
      <w:r>
        <w:t xml:space="preserve">Reviewing standard operating procedures in Landgericht Berlin and Amtsgericht districts.</w:t>
      </w:r>
    </w:p>
    <w:bookmarkEnd w:id="25"/>
    <w:bookmarkStart w:id="26" w:name="X875a5c26d1706ee80e5fcb575b74268c4af303f"/>
    <w:p>
      <w:pPr>
        <w:pStyle w:val="Heading3"/>
      </w:pPr>
      <w:r>
        <w:t xml:space="preserve">4. Regulatory Environment: The Lawyer in Germany</w:t>
      </w:r>
    </w:p>
    <w:p>
      <w:pPr>
        <w:pStyle w:val="FirstParagraph"/>
      </w:pPr>
      <w:r>
        <w:t xml:space="preserve">The profession of a</w:t>
      </w:r>
      <w:r>
        <w:t xml:space="preserve"> </w:t>
      </w:r>
      <w:r>
        <w:rPr>
          <w:bCs/>
          <w:b/>
        </w:rPr>
        <w:t xml:space="preserve">Lawyer</w:t>
      </w:r>
      <w:r>
        <w:t xml:space="preserve"> </w:t>
      </w:r>
      <w:r>
        <w:t xml:space="preserve">in</w:t>
      </w:r>
      <w:r>
        <w:t xml:space="preserve"> </w:t>
      </w:r>
      <w:r>
        <w:rPr>
          <w:bCs/>
          <w:b/>
        </w:rPr>
        <w:t xml:space="preserve">Germany Berlin</w:t>
      </w:r>
      <w:r>
        <w:t xml:space="preserve"> </w:t>
      </w:r>
      <w:r>
        <w:t xml:space="preserve">is not merely a career choice but a regulated public office. Unlike the United States, where bar admission varies by state, German legal qualification requires passing two rigorous state examinations (Staatsexamina). Upon admission to the Berlin Bar Association (Rechtsanwaltskammer für Berlin), practitioners must adhere to stringent rules of professional conduct.</w:t>
      </w:r>
    </w:p>
    <w:p>
      <w:pPr>
        <w:pStyle w:val="BodyText"/>
      </w:pPr>
      <w:r>
        <w:t xml:space="preserve">Key regulatory aspects include:</w:t>
      </w:r>
    </w:p>
    <w:p>
      <w:pPr>
        <w:numPr>
          <w:ilvl w:val="0"/>
          <w:numId w:val="1002"/>
        </w:numPr>
        <w:pStyle w:val="Compact"/>
      </w:pPr>
      <w:r>
        <w:rPr>
          <w:bCs/>
          <w:b/>
        </w:rPr>
        <w:t xml:space="preserve">Mandatory Insurance:</w:t>
      </w:r>
      <w:r>
        <w:t xml:space="preserve"> </w:t>
      </w:r>
      <w:r>
        <w:t xml:space="preserve">All lawyers in</w:t>
      </w:r>
      <w:r>
        <w:t xml:space="preserve"> </w:t>
      </w:r>
      <w:r>
        <w:rPr>
          <w:bCs/>
          <w:b/>
        </w:rPr>
        <w:t xml:space="preserve">Germany Berlin</w:t>
      </w:r>
      <w:r>
        <w:t xml:space="preserve"> </w:t>
      </w:r>
      <w:r>
        <w:t xml:space="preserve">must maintain professional liability insurance to protect clients against negligence.</w:t>
      </w:r>
    </w:p>
    <w:p>
      <w:pPr>
        <w:numPr>
          <w:ilvl w:val="0"/>
          <w:numId w:val="1002"/>
        </w:numPr>
        <w:pStyle w:val="Compact"/>
      </w:pPr>
      <w:r>
        <w:rPr>
          <w:bCs/>
          <w:b/>
        </w:rPr>
        <w:t xml:space="preserve">Fee Structures:</w:t>
      </w:r>
      <w:r>
        <w:t xml:space="preserve"> </w:t>
      </w:r>
      <w:r>
        <w:t xml:space="preserve">The Rechtsanwaltsvergütungsgesetz (RVG) dictates that legal fees are largely standardized based on the value of the dispute (Geschäftswert), preventing predatory pricing and ensuring transparency for clients.</w:t>
      </w:r>
    </w:p>
    <w:p>
      <w:pPr>
        <w:numPr>
          <w:ilvl w:val="0"/>
          <w:numId w:val="1002"/>
        </w:numPr>
        <w:pStyle w:val="Compact"/>
      </w:pPr>
      <w:r>
        <w:rPr>
          <w:bCs/>
          <w:b/>
        </w:rPr>
        <w:t xml:space="preserve">Independence:</w:t>
      </w:r>
      <w:r>
        <w:t xml:space="preserve"> </w:t>
      </w:r>
      <w:r>
        <w:t xml:space="preserve">Lawyers must maintain strict independence from third-party influence, ensuring that their advice in</w:t>
      </w:r>
      <w:r>
        <w:t xml:space="preserve"> </w:t>
      </w:r>
      <w:r>
        <w:rPr>
          <w:bCs/>
          <w:b/>
        </w:rPr>
        <w:t xml:space="preserve">Germany Berlin</w:t>
      </w:r>
      <w:r>
        <w:t xml:space="preserve">'s competitive market is unbiased.</w:t>
      </w:r>
    </w:p>
    <w:bookmarkEnd w:id="26"/>
    <w:bookmarkStart w:id="30" w:name="functional-dynamics-the-lawyers-role"/>
    <w:p>
      <w:pPr>
        <w:pStyle w:val="Heading3"/>
      </w:pPr>
      <w:r>
        <w:t xml:space="preserve">5. Functional Dynamics: The Lawyer's Role</w:t>
      </w:r>
    </w:p>
    <w:p>
      <w:pPr>
        <w:pStyle w:val="FirstParagraph"/>
      </w:pPr>
      <w:r>
        <w:t xml:space="preserve">In the context of this lab report, we categorize the functions of a</w:t>
      </w:r>
      <w:r>
        <w:t xml:space="preserve"> </w:t>
      </w:r>
      <w:r>
        <w:rPr>
          <w:bCs/>
          <w:b/>
        </w:rPr>
        <w:t xml:space="preserve">Lawyer</w:t>
      </w:r>
      <w:r>
        <w:t xml:space="preserve"> </w:t>
      </w:r>
      <w:r>
        <w:t xml:space="preserve">in</w:t>
      </w:r>
      <w:r>
        <w:t xml:space="preserve"> </w:t>
      </w:r>
      <w:r>
        <w:rPr>
          <w:bCs/>
          <w:b/>
        </w:rPr>
        <w:t xml:space="preserve">Germany Berlin</w:t>
      </w:r>
    </w:p>
    <w:bookmarkStart w:id="27" w:name="X9a1ad6cb89a2b276f92321c8aa6001d712f42ce"/>
    <w:p>
      <w:pPr>
        <w:pStyle w:val="Heading4"/>
      </w:pPr>
      <w:r>
        <w:t xml:space="preserve">A. Civil Litigation and Dispute Resolution</w:t>
      </w:r>
    </w:p>
    <w:p>
      <w:pPr>
        <w:pStyle w:val="FirstParagraph"/>
      </w:pPr>
      <w:r>
        <w:t xml:space="preserve">The civil procedure in Berlin is highly structured. A lawyer must file a written complaint (Klageschrift) that strictly adheres to procedural codes. Oral arguments are secondary to written submissions. The lawyer’s role here is analytical, requiring precise citation of case law from the Bundesgerichtshof (Federal Court of Justice).</w:t>
      </w:r>
    </w:p>
    <w:bookmarkEnd w:id="27"/>
    <w:bookmarkStart w:id="28" w:name="b.-corporate-and-commercial-law"/>
    <w:p>
      <w:pPr>
        <w:pStyle w:val="Heading4"/>
      </w:pPr>
      <w:r>
        <w:t xml:space="preserve">B. Corporate and Commercial Law</w:t>
      </w:r>
    </w:p>
    <w:p>
      <w:pPr>
        <w:pStyle w:val="FirstParagraph"/>
      </w:pPr>
      <w:r>
        <w:t xml:space="preserve">Berlin is a hub for startups and international business. Lawyers specializing in this sector facilitate mergers, acquisitions, and compliance with EU regulations. The demand for bilingual legal services (German/English) has surged in</w:t>
      </w:r>
      <w:r>
        <w:t xml:space="preserve"> </w:t>
      </w:r>
      <w:r>
        <w:rPr>
          <w:bCs/>
          <w:b/>
        </w:rPr>
        <w:t xml:space="preserve">Germany Berlin</w:t>
      </w:r>
      <w:r>
        <w:t xml:space="preserve">, forcing lawyers to adapt their communication styles while maintaining the formal rigor required by German courts.</w:t>
      </w:r>
    </w:p>
    <w:bookmarkEnd w:id="28"/>
    <w:bookmarkStart w:id="29" w:name="c.-criminal-defense"/>
    <w:p>
      <w:pPr>
        <w:pStyle w:val="Heading4"/>
      </w:pPr>
      <w:r>
        <w:t xml:space="preserve">C. Criminal Defense</w:t>
      </w:r>
    </w:p>
    <w:p>
      <w:pPr>
        <w:pStyle w:val="FirstParagraph"/>
      </w:pPr>
      <w:r>
        <w:t xml:space="preserve">In criminal matters, the lawyer acts as a vital check on state power. The right to counsel is fundamental under §137 of the Strafprozessordnung (StPO). Lawyers in Berlin must navigate pre-trial investigations with diligence, often meeting clients in detention centers and negotiating plea agreements or preparing for trial.</w:t>
      </w:r>
    </w:p>
    <w:bookmarkEnd w:id="29"/>
    <w:bookmarkEnd w:id="30"/>
    <w:bookmarkStart w:id="31" w:name="challenges-and-variables"/>
    <w:p>
      <w:pPr>
        <w:pStyle w:val="Heading3"/>
      </w:pPr>
      <w:r>
        <w:t xml:space="preserve">6. Challenges and Variables</w:t>
      </w:r>
    </w:p>
    <w:p>
      <w:pPr>
        <w:pStyle w:val="FirstParagraph"/>
      </w:pPr>
      <w:r>
        <w:t xml:space="preserve">The lab report identifies several variables that complicate the practice of law in</w:t>
      </w:r>
      <w:r>
        <w:t xml:space="preserve"> </w:t>
      </w:r>
      <w:r>
        <w:rPr>
          <w:bCs/>
          <w:b/>
        </w:rPr>
        <w:t xml:space="preserve">Germany Berlin</w:t>
      </w:r>
      <w:r>
        <w:t xml:space="preserve">:</w:t>
      </w:r>
    </w:p>
    <w:p>
      <w:pPr>
        <w:numPr>
          <w:ilvl w:val="0"/>
          <w:numId w:val="1003"/>
        </w:numPr>
        <w:pStyle w:val="Compact"/>
      </w:pPr>
      <w:r>
        <w:rPr>
          <w:bCs/>
          <w:b/>
        </w:rPr>
        <w:t xml:space="preserve">Digitalization Lag:</w:t>
      </w:r>
      <w:r>
        <w:t xml:space="preserve"> </w:t>
      </w:r>
      <w:r>
        <w:t xml:space="preserve">While Berlin is known for tech innovation, the court systems have historically been slow to adopt digital filing (E-Akte), though reforms are currently underway. Lawyers must often serve physical documents.</w:t>
      </w:r>
    </w:p>
    <w:p>
      <w:pPr>
        <w:numPr>
          <w:ilvl w:val="0"/>
          <w:numId w:val="1003"/>
        </w:numPr>
        <w:pStyle w:val="Compact"/>
      </w:pPr>
      <w:r>
        <w:rPr>
          <w:bCs/>
          <w:b/>
        </w:rPr>
        <w:t xml:space="preserve">Workload and Bureaucracy:</w:t>
      </w:r>
      <w:r>
        <w:t xml:space="preserve"> </w:t>
      </w:r>
      <w:r>
        <w:t xml:space="preserve">The sheer volume of administrative paperwork required by German authorities creates a bottleneck. A lawyer in Berlin spends significant time on documentation rather than courtroom advocacy.</w:t>
      </w:r>
    </w:p>
    <w:p>
      <w:pPr>
        <w:numPr>
          <w:ilvl w:val="0"/>
          <w:numId w:val="1003"/>
        </w:numPr>
        <w:pStyle w:val="Compact"/>
      </w:pPr>
      <w:r>
        <w:rPr>
          <w:bCs/>
          <w:b/>
        </w:rPr>
        <w:t xml:space="preserve">Cultural Nuances:</w:t>
      </w:r>
      <w:r>
        <w:t xml:space="preserve"> </w:t>
      </w:r>
      <w:r>
        <w:t xml:space="preserve">Clients expect a high level of formality. Addressing judges as "Herr Vorsitzender" or "Frau Richterin" is mandatory, and the hierarchical nature of the legal profession requires lawyers to demonstrate respect for institutional authority.</w:t>
      </w:r>
    </w:p>
    <w:bookmarkEnd w:id="31"/>
    <w:bookmarkStart w:id="32" w:name="Xb5db7b60ccd1349e82d0da2972329d43c818b48"/>
    <w:p>
      <w:pPr>
        <w:pStyle w:val="Heading3"/>
      </w:pPr>
      <w:r>
        <w:t xml:space="preserve">7. Case Study: The Impact of Housing Law on Lawyer Practice</w:t>
      </w:r>
    </w:p>
    <w:p>
      <w:pPr>
        <w:pStyle w:val="FirstParagraph"/>
      </w:pPr>
      <w:r>
        <w:t xml:space="preserve">To illustrate the specific context of</w:t>
      </w:r>
      <w:r>
        <w:t xml:space="preserve"> </w:t>
      </w:r>
      <w:r>
        <w:rPr>
          <w:bCs/>
          <w:b/>
        </w:rPr>
        <w:t xml:space="preserve">Germany Berlin</w:t>
      </w:r>
      <w:r>
        <w:t xml:space="preserve">, we examine housing law (Mietrecht). Due to the housing crisis in Berlin, landlord-tenant disputes are prevalent. Lawyers here must be experts in the Mietrechtsreformgesetz and local rent controls (Mietendeckel debates). The lawyer’s function shifts from purely theoretical legal interpretation to practical crisis management for clients facing eviction or rent hikes. This highlights how local socioeconomic factors directly influence the daily workflow of a</w:t>
      </w:r>
      <w:r>
        <w:t xml:space="preserve"> </w:t>
      </w:r>
      <w:r>
        <w:rPr>
          <w:bCs/>
          <w:b/>
        </w:rPr>
        <w:t xml:space="preserve">Lawyer</w:t>
      </w:r>
      <w:r>
        <w:t xml:space="preserve">.</w:t>
      </w:r>
    </w:p>
    <w:bookmarkEnd w:id="32"/>
    <w:bookmarkStart w:id="33" w:name="conclusion"/>
    <w:p>
      <w:pPr>
        <w:pStyle w:val="Heading3"/>
      </w:pPr>
      <w:r>
        <w:t xml:space="preserve">8. Conclusion</w:t>
      </w:r>
    </w:p>
    <w:p>
      <w:pPr>
        <w:pStyle w:val="FirstParagraph"/>
      </w:pPr>
      <w:r>
        <w:t xml:space="preserve">This lab report concludes that the profession of a</w:t>
      </w:r>
      <w:r>
        <w:t xml:space="preserve"> </w:t>
      </w:r>
      <w:r>
        <w:rPr>
          <w:bCs/>
          <w:b/>
        </w:rPr>
        <w:t xml:space="preserve">Lawyer</w:t>
      </w:r>
      <w:r>
        <w:t xml:space="preserve"> </w:t>
      </w:r>
      <w:r>
        <w:t xml:space="preserve">in</w:t>
      </w:r>
      <w:r>
        <w:t xml:space="preserve"> </w:t>
      </w:r>
      <w:r>
        <w:rPr>
          <w:bCs/>
          <w:b/>
        </w:rPr>
        <w:t xml:space="preserve">Germany Berlin</w:t>
      </w:r>
    </w:p>
    <w:p>
      <w:pPr>
        <w:pStyle w:val="BodyText"/>
      </w:pPr>
      <w:r>
        <w:t xml:space="preserve">The findings suggest that while the bureaucratic burden is significant, the stability provided by structured fee laws and mandatory insurance offers clients a secure environment. For international entities operating in</w:t>
      </w:r>
    </w:p>
    <w:p>
      <w:pPr>
        <w:pStyle w:val="BodyText"/>
      </w:pPr>
      <w:r>
        <w:t xml:space="preserve">Germany Berlin, engaging local counsel is not merely a formality but a necessity to navigate the nuanced regulatory landscape effectively.</w:t>
      </w:r>
    </w:p>
    <w:bookmarkEnd w:id="33"/>
    <w:bookmarkStart w:id="34" w:name="recommendations-for-future-study"/>
    <w:p>
      <w:pPr>
        <w:pStyle w:val="Heading3"/>
      </w:pPr>
      <w:r>
        <w:t xml:space="preserve">9. Recommendations for Future Study</w:t>
      </w:r>
    </w:p>
    <w:p>
      <w:pPr>
        <w:pStyle w:val="FirstParagraph"/>
      </w:pPr>
      <w:r>
        <w:t xml:space="preserve">Further research should focus on the impact of Artificial Intelligence on legal research in Berlin courts and how it might alter the traditional role of the</w:t>
      </w:r>
      <w:r>
        <w:t xml:space="preserve"> </w:t>
      </w:r>
      <w:r>
        <w:rPr>
          <w:bCs/>
          <w:b/>
        </w:rPr>
        <w:t xml:space="preserve">Lawyer</w:t>
      </w:r>
      <w:r>
        <w:t xml:space="preserve">. Additionally, a comparative analysis between lawyers in East Berlin and West Berlin could reveal historical divergences in legal practice styles.</w:t>
      </w:r>
    </w:p>
    <w:bookmarkEnd w:id="34"/>
    <w:bookmarkStart w:id="35" w:name="references"/>
    <w:p>
      <w:pPr>
        <w:pStyle w:val="Heading3"/>
      </w:pPr>
      <w:r>
        <w:t xml:space="preserve">10. References</w:t>
      </w:r>
    </w:p>
    <w:p>
      <w:pPr>
        <w:numPr>
          <w:ilvl w:val="0"/>
          <w:numId w:val="1004"/>
        </w:numPr>
        <w:pStyle w:val="Compact"/>
      </w:pPr>
      <w:r>
        <w:t xml:space="preserve">Bundesrechtsanwaltsordnung (BRAO)</w:t>
      </w:r>
    </w:p>
    <w:p>
      <w:pPr>
        <w:numPr>
          <w:ilvl w:val="0"/>
          <w:numId w:val="1004"/>
        </w:numPr>
        <w:pStyle w:val="Compact"/>
      </w:pPr>
      <w:r>
        <w:t xml:space="preserve">Deutsches Zivilgesetzbuch (BGB)</w:t>
      </w:r>
    </w:p>
    <w:p>
      <w:pPr>
        <w:numPr>
          <w:ilvl w:val="0"/>
          <w:numId w:val="1004"/>
        </w:numPr>
        <w:pStyle w:val="Compact"/>
      </w:pPr>
      <w:r>
        <w:t xml:space="preserve">Gesetze zur Regelung der Rechtsanwaltsvergütung (RVG)</w:t>
      </w:r>
    </w:p>
    <w:p>
      <w:pPr>
        <w:numPr>
          <w:ilvl w:val="0"/>
          <w:numId w:val="1004"/>
        </w:numPr>
        <w:pStyle w:val="Compact"/>
      </w:pPr>
      <w:r>
        <w:t xml:space="preserve">Court Statistics from the Berlin Senate Department of Justice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Service Provision in Germany Berlin</dc:title>
  <dc:creator/>
  <dc:language>en</dc:language>
  <cp:keywords/>
  <dcterms:created xsi:type="dcterms:W3CDTF">2026-07-29T12:55:07Z</dcterms:created>
  <dcterms:modified xsi:type="dcterms:W3CDTF">2026-07-29T12:55:07Z</dcterms:modified>
</cp:coreProperties>
</file>

<file path=docProps/custom.xml><?xml version="1.0" encoding="utf-8"?>
<Properties xmlns="http://schemas.openxmlformats.org/officeDocument/2006/custom-properties" xmlns:vt="http://schemas.openxmlformats.org/officeDocument/2006/docPropsVTypes"/>
</file>