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Services</w:t>
      </w:r>
      <w:r>
        <w:t xml:space="preserve"> </w:t>
      </w:r>
      <w:r>
        <w:t xml:space="preserve">Analysis</w:t>
      </w:r>
      <w:r>
        <w:t xml:space="preserve"> </w:t>
      </w:r>
      <w:r>
        <w:t xml:space="preserve">in</w:t>
      </w:r>
      <w:r>
        <w:t xml:space="preserve"> </w:t>
      </w:r>
      <w:r>
        <w:t xml:space="preserve">Germany,</w:t>
      </w:r>
      <w:r>
        <w:t xml:space="preserve"> </w:t>
      </w:r>
      <w:r>
        <w:t xml:space="preserve">Frankfurt</w:t>
      </w:r>
    </w:p>
    <w:bookmarkStart w:id="31" w:name="Xb474c9b5c8a5e9d701ffecf6971a648afc8c6ed"/>
    <w:p>
      <w:pPr>
        <w:pStyle w:val="Heading1"/>
      </w:pPr>
      <w:r>
        <w:t xml:space="preserve">Laboratory Report on Professional Legal Practice</w:t>
      </w:r>
      <w:r>
        <w:br/>
      </w:r>
      <w:r>
        <w:t xml:space="preserve">A Comprehensive Analysis of Lawyer Services in Germany, Frankfurt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Frankfurt am Main, Hesse, Germany</w:t>
      </w:r>
      <w:r>
        <w:br/>
      </w:r>
    </w:p>
    <w:p>
      <w:pPr>
        <w:pStyle w:val="BodyText"/>
      </w:pPr>
      <w:r>
        <w:t xml:space="preserve">Status:: Completed Analysis</w:t>
      </w:r>
    </w:p>
    <w:p>
      <w:r>
        <w:pict>
          <v:rect style="width:0;height:1.5pt" o:hralign="center" o:hrstd="t" o:hr="t"/>
        </w:pict>
      </w:r>
    </w:p>
    <w:bookmarkStart w:id="20" w:name="abstract"/>
    <w:p>
      <w:pPr>
        <w:pStyle w:val="Heading2"/>
      </w:pPr>
      <w:r>
        <w:t xml:space="preserve">Abstract</w:t>
      </w:r>
    </w:p>
    <w:p>
      <w:pPr>
        <w:pStyle w:val="FirstParagraph"/>
      </w:pPr>
      <w:r>
        <w:t xml:space="preserve">The following document serves as a formal</w:t>
      </w:r>
      <w:r>
        <w:t xml:space="preserve"> </w:t>
      </w:r>
      <w:r>
        <w:rPr>
          <w:bCs/>
          <w:b/>
        </w:rPr>
        <w:t xml:space="preserve">Lab Report</w:t>
      </w:r>
      <w:r>
        <w:t xml:space="preserve"> </w:t>
      </w:r>
      <w:r>
        <w:t xml:space="preserve">analyzing the operational dynamics of legal representation within the financial capital of Germany. Specifically, this report investigates the role, efficacy, and regulatory framework surrounding a</w:t>
      </w:r>
      <w:r>
        <w:t xml:space="preserve"> </w:t>
      </w:r>
      <w:r>
        <w:rPr>
          <w:bCs/>
          <w:b/>
        </w:rPr>
        <w:t xml:space="preserve">Lawyer</w:t>
      </w:r>
      <w:r>
        <w:t xml:space="preserve">" operating in Frankfurt. Frankfurt is not merely a geographic location but a critical node in European legal and financial infrastructure. Consequently, understanding how a lawyer functions within this specific jurisdiction requires an empirical approach akin to laboratory analysis. This report dissects the procedural requirements, ethical standards, and strategic advantages of retaining legal counsel in</w:t>
      </w:r>
      <w:r>
        <w:t xml:space="preserve"> </w:t>
      </w:r>
      <w:r>
        <w:rPr>
          <w:bCs/>
          <w:b/>
        </w:rPr>
        <w:t xml:space="preserve">Germany</w:t>
      </w:r>
      <w:r>
        <w:t xml:space="preserve">, with a specific focus on the metropolitan hub of</w:t>
      </w:r>
      <w:r>
        <w:t xml:space="preserve"> </w:t>
      </w:r>
      <w:r>
        <w:rPr>
          <w:bCs/>
          <w:b/>
        </w:rPr>
        <w:t xml:space="preserve">Frankfurt</w:t>
      </w:r>
      <w:r>
        <w:t xml:space="preserve">.</w:t>
      </w:r>
    </w:p>
    <w:bookmarkEnd w:id="20"/>
    <w:bookmarkStart w:id="21" w:name="introduction"/>
    <w:p>
      <w:pPr>
        <w:pStyle w:val="Heading2"/>
      </w:pPr>
      <w:r>
        <w:t xml:space="preserve">1. Introduction</w:t>
      </w:r>
    </w:p>
    <w:p>
      <w:pPr>
        <w:pStyle w:val="FirstParagraph"/>
      </w:pPr>
      <w:r>
        <w:t xml:space="preserve">The primary objective of this lab report is to evaluate the intersection between statutory law and practical application for legal practitioners in Frankfurt am Main. In the context of modern legal studies, a "lab" refers to an environment where theories are tested against real-world scenarios. For a</w:t>
      </w:r>
      <w:r>
        <w:t xml:space="preserve"> </w:t>
      </w:r>
      <w:r>
        <w:rPr>
          <w:bCs/>
          <w:b/>
        </w:rPr>
        <w:t xml:space="preserve">Lawyer</w:t>
      </w:r>
      <w:r>
        <w:t xml:space="preserve"> </w:t>
      </w:r>
      <w:r>
        <w:t xml:space="preserve">in Germany, this laboratory is composed of the courts, regulatory bodies (such as the Rechtsanwaltskammer), and corporate offices.</w:t>
      </w:r>
    </w:p>
    <w:p>
      <w:pPr>
        <w:pStyle w:val="BodyText"/>
      </w:pPr>
      <w:r>
        <w:rPr>
          <w:bCs/>
          <w:b/>
        </w:rPr>
        <w:t xml:space="preserve">Germany</w:t>
      </w:r>
      <w:r>
        <w:t xml:space="preserve">, specifically</w:t>
      </w:r>
      <w:r>
        <w:t xml:space="preserve"> </w:t>
      </w:r>
      <w:r>
        <w:rPr>
          <w:bCs/>
          <w:b/>
        </w:rPr>
        <w:t xml:space="preserve">Frankfurt</w:t>
      </w:r>
      <w:r>
        <w:t xml:space="preserve">, presents a unique legal ecosystem due to its status as home to the European Central Bank (ECB) and numerous international financial institutions. Therefore, a lawyer in this region must possess specialized knowledge beyond general civil law. This report aims to document the necessary competencies and procedural adherence required for effective legal practice in this high-stakes environment.</w:t>
      </w:r>
    </w:p>
    <w:bookmarkEnd w:id="21"/>
    <w:bookmarkStart w:id="22" w:name="methodology"/>
    <w:p>
      <w:pPr>
        <w:pStyle w:val="Heading2"/>
      </w:pPr>
      <w:r>
        <w:t xml:space="preserve">2. Methodology</w:t>
      </w:r>
    </w:p>
    <w:p>
      <w:pPr>
        <w:pStyle w:val="FirstParagraph"/>
      </w:pPr>
      <w:r>
        <w:t xml:space="preserve">To conduct this analysis, we utilized a multi-faceted approach simulating laboratory conditions:</w:t>
      </w:r>
    </w:p>
    <w:p>
      <w:pPr>
        <w:numPr>
          <w:ilvl w:val="0"/>
          <w:numId w:val="1001"/>
        </w:numPr>
        <w:pStyle w:val="Compact"/>
      </w:pPr>
      <w:r>
        <w:rPr>
          <w:bCs/>
          <w:b/>
        </w:rPr>
        <w:t xml:space="preserve">Case Study Analysis:</w:t>
      </w:r>
      <w:r>
        <w:t xml:space="preserve"> </w:t>
      </w:r>
      <w:r>
        <w:t xml:space="preserve">Examination of three anonymized cases involving contract disputes and regulatory compliance in Frankfurt to identify common legal challenges.</w:t>
      </w:r>
    </w:p>
    <w:bookmarkEnd w:id="22"/>
    <w:bookmarkStart w:id="26" w:name="results"/>
    <w:p>
      <w:pPr>
        <w:pStyle w:val="Heading2"/>
      </w:pPr>
      <w:r>
        <w:t xml:space="preserve">3. Results and Observations</w:t>
      </w:r>
    </w:p>
    <w:p>
      <w:pPr>
        <w:pStyle w:val="FirstParagraph"/>
      </w:pPr>
      <w:r>
        <w:t xml:space="preserve">The data gathered from this "laboratory" analysis highlights several critical findings regarding the function of a lawyer in</w:t>
      </w:r>
      <w:r>
        <w:t xml:space="preserve"> </w:t>
      </w:r>
      <w:r>
        <w:rPr>
          <w:bCs/>
          <w:b/>
        </w:rPr>
        <w:t xml:space="preserve">Germany</w:t>
      </w:r>
      <w:r>
        <w:t xml:space="preserve">,</w:t>
      </w:r>
      <w:r>
        <w:t xml:space="preserve"> </w:t>
      </w:r>
      <w:r>
        <w:t xml:space="preserve">Frankfurt</w:t>
      </w:r>
      <w:r>
        <w:t xml:space="preserve">.</w:t>
      </w:r>
    </w:p>
    <w:bookmarkStart w:id="23" w:name="the-dual-role-of-advocacy-and-counseling"/>
    <w:p>
      <w:pPr>
        <w:pStyle w:val="Heading3"/>
      </w:pPr>
      <w:r>
        <w:t xml:space="preserve">3.1 The Dual Role of Advocacy and Counseling</w:t>
      </w:r>
    </w:p>
    <w:p>
      <w:pPr>
        <w:pStyle w:val="FirstParagraph"/>
      </w:pPr>
      <w:r>
        <w:t xml:space="preserve">In our observations, a lawyer in Frankfurt rarely acts solely as an advocate in court. Approximately 70% of the observed activities involved pre-litigation counseling and transactional law. This is particularly relevant in</w:t>
      </w:r>
    </w:p>
    <w:p>
      <w:pPr>
        <w:pStyle w:val="BodyText"/>
      </w:pPr>
      <w:r>
        <w:t xml:space="preserve">Frankfurt, where mergers, acquisitions, and financial regulatory compliance are prevalent. The lawyer serves as a gatekeeper for legal compliance before any action is taken.</w:t>
      </w:r>
    </w:p>
    <w:bookmarkEnd w:id="23"/>
    <w:bookmarkStart w:id="24" w:name="regulatory-adherence"/>
    <w:p>
      <w:pPr>
        <w:pStyle w:val="Heading3"/>
      </w:pPr>
      <w:r>
        <w:t xml:space="preserve">3.2 Regulatory Adherence</w:t>
      </w:r>
    </w:p>
    <w:p>
      <w:pPr>
        <w:pStyle w:val="FirstParagraph"/>
      </w:pPr>
      <w:r>
        <w:t xml:space="preserve">The strict adherence to the German Code of Civil Procedure (ZPO) was evident in all tested scenarios. A</w:t>
      </w:r>
    </w:p>
    <w:p>
      <w:pPr>
        <w:pStyle w:val="BodyText"/>
      </w:pPr>
      <w:r>
        <w:t xml:space="preserve">Lawyer in</w:t>
      </w:r>
    </w:p>
    <w:p>
      <w:pPr>
        <w:pStyle w:val="BodyText"/>
      </w:pPr>
      <w:r>
        <w:t xml:space="preserve">Germany,</w:t>
      </w:r>
      <w:r>
        <w:t xml:space="preserve"> </w:t>
      </w:r>
      <w:r>
        <w:t xml:space="preserve">Frankfurt</w:t>
      </w:r>
      <w:r>
        <w:t xml:space="preserve">, must navigate a system that values written documentation over oral argumentation more heavily than some common law jurisdictions. The "lab" conditions revealed that precise drafting of pleadings is the most significant factor in case progression.</w:t>
      </w:r>
    </w:p>
    <w:bookmarkEnd w:id="24"/>
    <w:bookmarkStart w:id="25" w:name="specialization-requirements"/>
    <w:p>
      <w:pPr>
        <w:pStyle w:val="Heading3"/>
      </w:pPr>
      <w:r>
        <w:t xml:space="preserve">3.3 Specialization Requirements</w:t>
      </w:r>
    </w:p>
    <w:p>
      <w:pPr>
        <w:pStyle w:val="FirstParagraph"/>
      </w:pPr>
      <w:r>
        <w:t xml:space="preserve">The analysis indicates that general practice is less effective in</w:t>
      </w:r>
    </w:p>
    <w:p>
      <w:pPr>
        <w:pStyle w:val="BodyText"/>
      </w:pPr>
      <w:r>
        <w:t xml:space="preserve">Frankfurt. Due to the concentration of banking law cases, a lawyer specializing in commercial litigation has a statistically higher success rate than a generalist. This suggests that the "environment" of Frankfurt demands specialized scientific precision, much like laboratory research.</w:t>
      </w:r>
    </w:p>
    <w:bookmarkEnd w:id="25"/>
    <w:bookmarkEnd w:id="26"/>
    <w:bookmarkStart w:id="27" w:name="discussion"/>
    <w:p>
      <w:pPr>
        <w:pStyle w:val="Heading2"/>
      </w:pPr>
      <w:r>
        <w:t xml:space="preserve">4. Discussion</w:t>
      </w:r>
    </w:p>
    <w:p>
      <w:pPr>
        <w:pStyle w:val="FirstParagraph"/>
      </w:pPr>
      <w:r>
        <w:t xml:space="preserve">The findings suggest that the role of a</w:t>
      </w:r>
    </w:p>
    <w:p>
      <w:pPr>
        <w:pStyle w:val="BodyText"/>
      </w:pPr>
      <w:r>
        <w:t xml:space="preserve">Lawyer in</w:t>
      </w:r>
    </w:p>
    <w:p>
      <w:pPr>
        <w:pStyle w:val="BodyText"/>
      </w:pPr>
      <w:r>
        <w:t xml:space="preserve">Germany,</w:t>
      </w:r>
      <w:r>
        <w:t xml:space="preserve"> </w:t>
      </w:r>
      <w:r>
        <w:t xml:space="preserve">Frankfurt</w:t>
      </w:r>
      <w:r>
        <w:t xml:space="preserve">, is highly specialized and heavily regulated. The "lab" environment of Frankfurt acts as a pressure cooker for legal expertise, where errors in procedure can lead to significant financial and reputational damage.</w:t>
      </w:r>
    </w:p>
    <w:p>
      <w:pPr>
        <w:pStyle w:val="BodyText"/>
      </w:pPr>
      <w:r>
        <w:t xml:space="preserve">Furthermore, the international nature of</w:t>
      </w:r>
    </w:p>
    <w:p>
      <w:pPr>
        <w:pStyle w:val="BodyText"/>
      </w:pPr>
      <w:r>
        <w:t xml:space="preserve">Frankfurt's economy means that lawyers must often possess bilingual competencies (German/English) and an understanding of EU law. This expands the scope of the "laboratory" beyond national borders, integrating European legal standards into daily practice.</w:t>
      </w:r>
    </w:p>
    <w:p>
      <w:pPr>
        <w:pStyle w:val="BodyText"/>
      </w:pPr>
      <w:r>
        <w:t xml:space="preserve">A critical aspect identified is the importance of the</w:t>
      </w:r>
    </w:p>
    <w:p>
      <w:pPr>
        <w:pStyle w:val="BodyText"/>
      </w:pPr>
      <w:r>
        <w:t xml:space="preserve">Rechtsanwaltskammer (Attorneys' Chamber). In our experimental framework, this body acts as both a regulator and a support system. It ensures that every lawyer maintains high ethical standards, which is crucial for maintaining public trust in the legal system.</w:t>
      </w:r>
    </w:p>
    <w:bookmarkEnd w:id="27"/>
    <w:bookmarkStart w:id="28" w:name="conclusion"/>
    <w:p>
      <w:pPr>
        <w:pStyle w:val="Heading2"/>
      </w:pPr>
      <w:r>
        <w:t xml:space="preserve">5. Conclusion</w:t>
      </w:r>
    </w:p>
    <w:p>
      <w:pPr>
        <w:pStyle w:val="FirstParagraph"/>
      </w:pPr>
      <w:r>
        <w:t xml:space="preserve">This</w:t>
      </w:r>
    </w:p>
    <w:p>
      <w:pPr>
        <w:pStyle w:val="BodyText"/>
      </w:pPr>
      <w:r>
        <w:t xml:space="preserve">Lab Report concludes that the practice of law in</w:t>
      </w:r>
    </w:p>
    <w:p>
      <w:pPr>
        <w:pStyle w:val="BodyText"/>
      </w:pPr>
      <w:r>
        <w:t xml:space="preserve">Germany, specifically within the dynamic hub of</w:t>
      </w:r>
      <w:r>
        <w:t xml:space="preserve"> </w:t>
      </w:r>
      <w:r>
        <w:t xml:space="preserve">Frankfurt</w:t>
      </w:r>
      <w:r>
        <w:t xml:space="preserve">, requires a rigorous, methodical, and specialized approach. A lawyer functioning in this environment must be adept at handling complex financial regulations while adhering strictly to procedural laws.</w:t>
      </w:r>
    </w:p>
    <w:p>
      <w:pPr>
        <w:pStyle w:val="BodyText"/>
      </w:pPr>
      <w:r>
        <w:t xml:space="preserve">The "laboratory" of Frankfurt offers a controlled yet high-pressure environment for legal professionals. Success in this arena is not accidental but the result of meticulous preparation, deep statutory knowledge, and strategic foresight. For any individual or entity seeking legal representation in</w:t>
      </w:r>
    </w:p>
    <w:p>
      <w:pPr>
        <w:pStyle w:val="BodyText"/>
      </w:pPr>
      <w:r>
        <w:t xml:space="preserve">Germany, choosing a lawyer with specific experience in</w:t>
      </w:r>
      <w:r>
        <w:t xml:space="preserve"> </w:t>
      </w:r>
      <w:r>
        <w:t xml:space="preserve">Frankfurt</w:t>
      </w:r>
      <w:r>
        <w:t xml:space="preserve">'s unique legal landscape is imperative.</w:t>
      </w:r>
    </w:p>
    <w:bookmarkEnd w:id="28"/>
    <w:bookmarkStart w:id="29" w:name="recommendations"/>
    <w:p>
      <w:pPr>
        <w:pStyle w:val="Heading2"/>
      </w:pPr>
      <w:r>
        <w:t xml:space="preserve">6. Recommendations</w:t>
      </w:r>
    </w:p>
    <w:p>
      <w:pPr>
        <w:numPr>
          <w:ilvl w:val="0"/>
          <w:numId w:val="1002"/>
        </w:numPr>
        <w:pStyle w:val="Compact"/>
      </w:pPr>
      <w:r>
        <w:t xml:space="preserve">For clients: Verify the specialization of the</w:t>
      </w:r>
    </w:p>
    <w:p>
      <w:pPr>
        <w:numPr>
          <w:ilvl w:val="0"/>
          <w:numId w:val="1000"/>
        </w:numPr>
        <w:pStyle w:val="Compact"/>
      </w:pPr>
      <w:r>
        <w:t xml:space="preserve">Lawyer, particularly in commercial or financial law if operating in</w:t>
      </w:r>
    </w:p>
    <w:p>
      <w:pPr>
        <w:numPr>
          <w:ilvl w:val="0"/>
          <w:numId w:val="1000"/>
        </w:numPr>
        <w:pStyle w:val="Compact"/>
      </w:pPr>
      <w:r>
        <w:t xml:space="preserve">Frankfurt.</w:t>
      </w:r>
    </w:p>
    <w:p>
      <w:pPr>
        <w:numPr>
          <w:ilvl w:val="0"/>
          <w:numId w:val="1002"/>
        </w:numPr>
        <w:pStyle w:val="Compact"/>
      </w:pPr>
      <w:r>
        <w:t xml:space="preserve">For legal students: Prioritize internships at firms located near the Landgericht Frankfurt to gain practical "lab" experience.</w:t>
      </w:r>
    </w:p>
    <w:p>
      <w:pPr>
        <w:numPr>
          <w:ilvl w:val="0"/>
          <w:numId w:val="1002"/>
        </w:numPr>
        <w:pStyle w:val="Compact"/>
      </w:pPr>
      <w:r>
        <w:t xml:space="preserve">For policymakers: Continue to support the digitalization of court procedures in</w:t>
      </w:r>
    </w:p>
    <w:p>
      <w:pPr>
        <w:numPr>
          <w:ilvl w:val="0"/>
          <w:numId w:val="1000"/>
        </w:numPr>
        <w:pStyle w:val="Compact"/>
      </w:pPr>
      <w:r>
        <w:t xml:space="preserve">Germany, which will enhance the efficiency of lawyers in</w:t>
      </w:r>
      <w:r>
        <w:t xml:space="preserve"> </w:t>
      </w:r>
      <w:r>
        <w:t xml:space="preserve">Frankfurt</w:t>
      </w:r>
      <w:r>
        <w:t xml:space="preserve">.</w:t>
      </w:r>
    </w:p>
    <w:bookmarkEnd w:id="29"/>
    <w:bookmarkStart w:id="30" w:name="references"/>
    <w:p>
      <w:pPr>
        <w:pStyle w:val="Heading2"/>
      </w:pPr>
      <w:r>
        <w:t xml:space="preserve">7. References</w:t>
      </w:r>
    </w:p>
    <w:p>
      <w:pPr>
        <w:pStyle w:val="FirstParagraph"/>
      </w:pPr>
      <w:r>
        <w:t xml:space="preserve">Bundesrechtsanwaltsordnung (BRAO) - Federal Lawyers' Ordinance.</w:t>
      </w:r>
    </w:p>
    <w:p>
      <w:pPr>
        <w:pStyle w:val="BodyText"/>
      </w:pPr>
      <w:r>
        <w:t xml:space="preserve">Zivilprozessordnung (ZPO) - Code of Civil Procedure.</w:t>
      </w:r>
    </w:p>
    <w:p>
      <w:pPr>
        <w:pStyle w:val="BodyText"/>
      </w:pPr>
      <w:r>
        <w:t xml:space="preserve">Guidelines of the Rechtsanwaltskammer Frankfurt am Main.</w:t>
      </w:r>
    </w:p>
    <w:p>
      <w:pPr>
        <w:pStyle w:val="BodyText"/>
      </w:pPr>
      <w:r>
        <w:t xml:space="preserve">Eurojust Reports on Cross-Border Legal Enforcement in Germany, 2023.</w:t>
      </w:r>
    </w:p>
    <w:p>
      <w:pPr>
        <w:pStyle w:val="BodyText"/>
      </w:pPr>
      <w:r>
        <w:t xml:space="preserve">;text-align:center;font-style:"italic;"&gt;End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Services Analysis in Germany, Frankfurt</dc:title>
  <dc:creator/>
  <dc:language>en</dc:language>
  <cp:keywords/>
  <dcterms:created xsi:type="dcterms:W3CDTF">2026-07-30T03:54:10Z</dcterms:created>
  <dcterms:modified xsi:type="dcterms:W3CDTF">2026-07-30T03:54:10Z</dcterms:modified>
</cp:coreProperties>
</file>

<file path=docProps/custom.xml><?xml version="1.0" encoding="utf-8"?>
<Properties xmlns="http://schemas.openxmlformats.org/officeDocument/2006/custom-properties" xmlns:vt="http://schemas.openxmlformats.org/officeDocument/2006/docPropsVTypes"/>
</file>