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Advocacy</w:t>
      </w:r>
      <w:r>
        <w:t xml:space="preserve"> </w:t>
      </w:r>
      <w:r>
        <w:t xml:space="preserve">and</w:t>
      </w:r>
      <w:r>
        <w:t xml:space="preserve"> </w:t>
      </w:r>
      <w:r>
        <w:t xml:space="preserve">Jurisprudential</w:t>
      </w:r>
      <w:r>
        <w:t xml:space="preserve"> </w:t>
      </w:r>
      <w:r>
        <w:t xml:space="preserve">Analysis</w:t>
      </w:r>
      <w:r>
        <w:t xml:space="preserve"> </w:t>
      </w:r>
      <w:r>
        <w:t xml:space="preserve">in</w:t>
      </w:r>
      <w:r>
        <w:t xml:space="preserve"> </w:t>
      </w:r>
      <w:r>
        <w:t xml:space="preserve">the</w:t>
      </w:r>
      <w:r>
        <w:t xml:space="preserve"> </w:t>
      </w:r>
      <w:r>
        <w:t xml:space="preserve">Islamic</w:t>
      </w:r>
      <w:r>
        <w:t xml:space="preserve"> </w:t>
      </w:r>
      <w:r>
        <w:t xml:space="preserve">Republic</w:t>
      </w:r>
      <w:r>
        <w:t xml:space="preserve"> </w:t>
      </w:r>
      <w:r>
        <w:t xml:space="preserve">of</w:t>
      </w:r>
      <w:r>
        <w:t xml:space="preserve"> </w:t>
      </w:r>
      <w:r>
        <w:t xml:space="preserve">Iran</w:t>
      </w:r>
    </w:p>
    <w:bookmarkStart w:id="32" w:name="Xcc8f23c43dd963920fe0f98786d00060af045ca"/>
    <w:p>
      <w:pPr>
        <w:pStyle w:val="Heading1"/>
      </w:pPr>
      <w:r>
        <w:t xml:space="preserve">Laboratory Report on Legal Representation Protocols</w:t>
      </w:r>
      <w:r>
        <w:br/>
      </w:r>
      <w:r>
        <w:t xml:space="preserve">A Case Study of Litigation Dynamics in Tehran, Iran</w:t>
      </w:r>
    </w:p>
    <w:p>
      <w:r>
        <w:pict>
          <v:rect style="width:0;height:1.5pt" o:hralign="center" o:hrstd="t" o:hr="t"/>
        </w:pict>
      </w:r>
    </w:p>
    <w:bookmarkStart w:id="20" w:name="executive-summary-and-objective"/>
    <w:p>
      <w:pPr>
        <w:pStyle w:val="Heading2"/>
      </w:pPr>
      <w:r>
        <w:t xml:space="preserve">1. Executive Summary and Objective</w:t>
      </w:r>
    </w:p>
    <w:p>
      <w:pPr>
        <w:pStyle w:val="FirstParagraph"/>
      </w:pPr>
      <w:r>
        <w:t xml:space="preserve">This document serves as a comprehensive</w:t>
      </w:r>
      <w:r>
        <w:t xml:space="preserve"> </w:t>
      </w:r>
      <w:r>
        <w:rPr>
          <w:bCs/>
          <w:b/>
        </w:rPr>
        <w:t xml:space="preserve">Lab Report</w:t>
      </w:r>
      <w:r>
        <w:t xml:space="preserve"> </w:t>
      </w:r>
      <w:r>
        <w:t xml:space="preserve">regarding the procedural efficacy, ethical constraints, and strategic applications of hiring a</w:t>
      </w:r>
      <w:r>
        <w:t xml:space="preserve"> </w:t>
      </w:r>
      <w:r>
        <w:rPr>
          <w:bCs/>
          <w:b/>
        </w:rPr>
        <w:t xml:space="preserve">Lawyer</w:t>
      </w:r>
      <w:r>
        <w:t xml:space="preserve">. The primary focus of this analytical study is the specific jurisdictional environment located in</w:t>
      </w:r>
      <w:r>
        <w:t xml:space="preserve"> </w:t>
      </w:r>
      <w:r>
        <w:rPr>
          <w:bCs/>
          <w:b/>
        </w:rPr>
        <w:t xml:space="preserve">Tehran, Iran</w:t>
      </w:r>
      <w:r>
        <w:t xml:space="preserve">. The objective is to dissect the complexities of legal representation within the dual-layered judicial system that characterizes Tehran. Unlike standard Western legal frameworks, a</w:t>
      </w:r>
      <w:r>
        <w:t xml:space="preserve"> </w:t>
      </w:r>
      <w:r>
        <w:rPr>
          <w:bCs/>
          <w:b/>
        </w:rPr>
        <w:t xml:space="preserve">Lab Report</w:t>
      </w:r>
      <w:r>
        <w:t xml:space="preserve"> </w:t>
      </w:r>
      <w:r>
        <w:t xml:space="preserve">style analysis requires us to treat each legal case as an experiment with variables such as religious law (Sharia), civil statutes, and socio-political pressures. The goal is to determine the optimal approach for securing justice in the capital city of</w:t>
      </w:r>
      <w:r>
        <w:t xml:space="preserve"> </w:t>
      </w:r>
      <w:r>
        <w:rPr>
          <w:bCs/>
          <w:b/>
        </w:rPr>
        <w:t xml:space="preserve">Iran Tehran</w:t>
      </w:r>
      <w:r>
        <w:t xml:space="preserve">.</w:t>
      </w:r>
    </w:p>
    <w:bookmarkEnd w:id="20"/>
    <w:bookmarkStart w:id="21" w:name="X2b32af69af3c47286a80be8ecb06be19b7bc309"/>
    <w:p>
      <w:pPr>
        <w:pStyle w:val="Heading2"/>
      </w:pPr>
      <w:r>
        <w:t xml:space="preserve">2. Introduction: The Jurisdictional Laboratory</w:t>
      </w:r>
    </w:p>
    <w:p>
      <w:pPr>
        <w:pStyle w:val="FirstParagraph"/>
      </w:pPr>
      <w:r>
        <w:t xml:space="preserve">The judicial landscape of</w:t>
      </w:r>
      <w:r>
        <w:t xml:space="preserve"> </w:t>
      </w:r>
      <w:r>
        <w:rPr>
          <w:bCs/>
          <w:b/>
        </w:rPr>
        <w:t xml:space="preserve">Tehran, Iran</w:t>
      </w:r>
      <w:r>
        <w:t xml:space="preserve">, operates as a complex laboratory where traditional Islamic jurisprudence intersects with modern civil codes. When engaging the services of a</w:t>
      </w:r>
      <w:r>
        <w:t xml:space="preserve"> </w:t>
      </w:r>
      <w:r>
        <w:rPr>
          <w:bCs/>
          <w:b/>
        </w:rPr>
        <w:t xml:space="preserve">Lawyer</w:t>
      </w:r>
      <w:r>
        <w:t xml:space="preserve"> </w:t>
      </w:r>
      <w:r>
        <w:t xml:space="preserve">in this region, one must understand that the "laws of physics" governing legal outcomes are different from those in Europe or North America. In a standard</w:t>
      </w:r>
      <w:r>
        <w:t xml:space="preserve"> </w:t>
      </w:r>
      <w:r>
        <w:rPr>
          <w:bCs/>
          <w:b/>
        </w:rPr>
        <w:t xml:space="preserve">Lab Report</w:t>
      </w:r>
      <w:r>
        <w:t xml:space="preserve">, we observe phenomena; here, we observe the interaction between state authority and individual rights.</w:t>
      </w:r>
    </w:p>
    <w:p>
      <w:pPr>
        <w:pStyle w:val="BodyText"/>
      </w:pPr>
      <w:r>
        <w:t xml:space="preserve">Tehran serves as the administrative heart of</w:t>
      </w:r>
      <w:r>
        <w:t xml:space="preserve"> </w:t>
      </w:r>
      <w:r>
        <w:rPr>
          <w:bCs/>
          <w:b/>
        </w:rPr>
        <w:t xml:space="preserve">Iran Tehran</w:t>
      </w:r>
      <w:r>
        <w:t xml:space="preserve">, housing the highest courts and specialized tribunals. A</w:t>
      </w:r>
      <w:r>
        <w:t xml:space="preserve"> </w:t>
      </w:r>
      <w:r>
        <w:rPr>
          <w:bCs/>
          <w:b/>
        </w:rPr>
        <w:t xml:space="preserve">Lawyer</w:t>
      </w:r>
      <w:r>
        <w:t xml:space="preserve"> </w:t>
      </w:r>
      <w:r>
        <w:t xml:space="preserve">practicing here must possess not only legal knowledge but also an intimate understanding of the local cultural and religious nuances. This report outlines the methodology, variables, observations, and conclusions regarding legal representation in this unique environment.</w:t>
      </w:r>
    </w:p>
    <w:bookmarkEnd w:id="21"/>
    <w:bookmarkStart w:id="24" w:name="X078d50b59011a6837b8d97e40a04b8f40f90534"/>
    <w:p>
      <w:pPr>
        <w:pStyle w:val="Heading2"/>
      </w:pPr>
      <w:r>
        <w:t xml:space="preserve">3. Methodology: Variables of Legal Practice in Tehran</w:t>
      </w:r>
    </w:p>
    <w:p>
      <w:pPr>
        <w:pStyle w:val="FirstParagraph"/>
      </w:pPr>
      <w:r>
        <w:t xml:space="preserve">To accurately assess the role of a</w:t>
      </w:r>
      <w:r>
        <w:t xml:space="preserve"> </w:t>
      </w:r>
      <w:r>
        <w:rPr>
          <w:bCs/>
          <w:b/>
        </w:rPr>
        <w:t xml:space="preserve">Lawyer</w:t>
      </w:r>
      <w:r>
        <w:t xml:space="preserve"> </w:t>
      </w:r>
      <w:r>
        <w:t xml:space="preserve">in</w:t>
      </w:r>
      <w:r>
        <w:t xml:space="preserve"> </w:t>
      </w:r>
      <w:r>
        <w:rPr>
          <w:bCs/>
          <w:b/>
        </w:rPr>
        <w:t xml:space="preserve">Tehran, Iran</w:t>
      </w:r>
      <w:r>
        <w:t xml:space="preserve">, we must define the independent and dependent variables present in this legal laboratory.</w:t>
      </w:r>
    </w:p>
    <w:bookmarkStart w:id="22" w:name="independent-variables-the-inputs"/>
    <w:p>
      <w:pPr>
        <w:pStyle w:val="Heading3"/>
      </w:pPr>
      <w:r>
        <w:t xml:space="preserve">3.1 Independent Variables (The Inputs)</w:t>
      </w:r>
    </w:p>
    <w:p>
      <w:pPr>
        <w:numPr>
          <w:ilvl w:val="0"/>
          <w:numId w:val="1001"/>
        </w:numPr>
        <w:pStyle w:val="Compact"/>
      </w:pPr>
      <w:r>
        <w:rPr>
          <w:bCs/>
          <w:b/>
        </w:rPr>
        <w:t xml:space="preserve">Judicial Structure:</w:t>
      </w:r>
    </w:p>
    <w:p>
      <w:pPr>
        <w:numPr>
          <w:ilvl w:val="0"/>
          <w:numId w:val="1001"/>
        </w:numPr>
        <w:pStyle w:val="Compact"/>
      </w:pPr>
      <w:r>
        <w:rPr>
          <w:bCs/>
          <w:b/>
        </w:rPr>
        <w:t xml:space="preserve">Sources of Law:</w:t>
      </w:r>
      <w:r>
        <w:t xml:space="preserve">The primary influence of the Constitution and Sharia law as interpreted by the Guardian Council.</w:t>
      </w:r>
    </w:p>
    <w:p>
      <w:pPr>
        <w:numPr>
          <w:ilvl w:val="0"/>
          <w:numId w:val="1001"/>
        </w:numPr>
        <w:pStyle w:val="Compact"/>
      </w:pPr>
      <w:r>
        <w:rPr>
          <w:bCs/>
          <w:b/>
        </w:rPr>
        <w:t xml:space="preserve">Counsel Selection:</w:t>
      </w:r>
      <w:r>
        <w:t xml:space="preserve">The qualifications, bar association membership, and specialization of the hired</w:t>
      </w:r>
      <w:r>
        <w:t xml:space="preserve"> </w:t>
      </w:r>
      <w:r>
        <w:rPr>
          <w:bCs/>
          <w:b/>
        </w:rPr>
        <w:t xml:space="preserve">Lawyer</w:t>
      </w:r>
      <w:r>
        <w:t xml:space="preserve">.</w:t>
      </w:r>
    </w:p>
    <w:bookmarkEnd w:id="22"/>
    <w:bookmarkStart w:id="23" w:name="dependent-variables-the-outcomes"/>
    <w:p>
      <w:pPr>
        <w:pStyle w:val="Heading3"/>
      </w:pPr>
      <w:r>
        <w:t xml:space="preserve">3.2 Dependent Variables (The Outcomes)</w:t>
      </w:r>
    </w:p>
    <w:p>
      <w:pPr>
        <w:numPr>
          <w:ilvl w:val="0"/>
          <w:numId w:val="1002"/>
        </w:numPr>
        <w:pStyle w:val="Compact"/>
      </w:pPr>
      <w:r>
        <w:rPr>
          <w:bCs/>
          <w:b/>
        </w:rPr>
        <w:t xml:space="preserve">Judicial Verdicts:</w:t>
      </w:r>
      <w:r>
        <w:t xml:space="preserve">The final rulings issued by judges in Tehran.</w:t>
      </w:r>
    </w:p>
    <w:p>
      <w:pPr>
        <w:numPr>
          <w:ilvl w:val="0"/>
          <w:numId w:val="1002"/>
        </w:numPr>
        <w:pStyle w:val="Compact"/>
      </w:pPr>
      <w:r>
        <w:rPr>
          <w:bCs/>
          <w:b/>
        </w:rPr>
        <w:t xml:space="preserve">Trial Duration:</w:t>
      </w:r>
      <w:r>
        <w:t xml:space="preserve">The temporal aspect of legal proceedings, which can vary significantly based on the complexity and political sensitivity of the case.</w:t>
      </w:r>
    </w:p>
    <w:p>
      <w:pPr>
        <w:numPr>
          <w:ilvl w:val="0"/>
          <w:numId w:val="1002"/>
        </w:numPr>
        <w:pStyle w:val="Compact"/>
      </w:pPr>
      <w:r>
        <w:t xml:space="preserve">Rights Protection:</w:t>
      </w:r>
    </w:p>
    <w:bookmarkEnd w:id="23"/>
    <w:bookmarkEnd w:id="24"/>
    <w:bookmarkStart w:id="28" w:name="Xe3a4155e391ab8b22a82d75f4ce939ee035e011"/>
    <w:p>
      <w:pPr>
        <w:pStyle w:val="Heading2"/>
      </w:pPr>
      <w:r>
        <w:t xml:space="preserve">4. Experimental Procedure: The Role of the Lawyer</w:t>
      </w:r>
    </w:p>
    <w:p>
      <w:pPr>
        <w:pStyle w:val="FirstParagraph"/>
      </w:pPr>
      <w:r>
        <w:t xml:space="preserve">In this</w:t>
      </w:r>
      <w:r>
        <w:t xml:space="preserve"> </w:t>
      </w:r>
      <w:r>
        <w:rPr>
          <w:bCs/>
          <w:b/>
        </w:rPr>
        <w:t xml:space="preserve">Lab Report</w:t>
      </w:r>
      <w:r>
        <w:t xml:space="preserve">, we outline the standard operating procedure for a</w:t>
      </w:r>
      <w:r>
        <w:t xml:space="preserve"> </w:t>
      </w:r>
      <w:r>
        <w:rPr>
          <w:bCs/>
          <w:b/>
        </w:rPr>
        <w:t xml:space="preserve">Lawyer</w:t>
      </w:r>
      <w:r>
        <w:t xml:space="preserve"> </w:t>
      </w:r>
      <w:r>
        <w:t xml:space="preserve">handling a case in</w:t>
      </w:r>
      <w:r>
        <w:t xml:space="preserve"> </w:t>
      </w:r>
      <w:r>
        <w:rPr>
          <w:bCs/>
          <w:b/>
        </w:rPr>
        <w:t xml:space="preserve">Tehran, Iran</w:t>
      </w:r>
      <w:r>
        <w:t xml:space="preserve">.</w:t>
      </w:r>
    </w:p>
    <w:bookmarkStart w:id="25" w:name="phase-i-intake-and-case-analysis"/>
    <w:p>
      <w:pPr>
        <w:pStyle w:val="Heading4"/>
      </w:pPr>
      <w:r>
        <w:t xml:space="preserve">Phase I: Intake and Case Analysis</w:t>
      </w:r>
    </w:p>
    <w:p>
      <w:pPr>
        <w:pStyle w:val="FirstParagraph"/>
      </w:pPr>
      <w:r>
        <w:t xml:space="preserve">The process begins with the initial consultation. In</w:t>
      </w:r>
      <w:r>
        <w:t xml:space="preserve"> </w:t>
      </w:r>
      <w:r>
        <w:rPr>
          <w:bCs/>
          <w:b/>
        </w:rPr>
        <w:t xml:space="preserve">Iran Tehran</w:t>
      </w:r>
      <w:r>
        <w:t xml:space="preserve">, trust is paramount. A competent</w:t>
      </w:r>
      <w:r>
        <w:t xml:space="preserve"> </w:t>
      </w:r>
      <w:r>
        <w:rPr>
          <w:bCs/>
          <w:b/>
        </w:rPr>
        <w:t xml:space="preserve">Lawyer</w:t>
      </w:r>
      <w:r>
        <w:t xml:space="preserve"> </w:t>
      </w:r>
      <w:r>
        <w:t xml:space="preserve">must verify the legal standing of the client under Islamic law. This involves reviewing personal status documents, property deeds, or contract agreements to ensure they align with local statutes.</w:t>
      </w:r>
    </w:p>
    <w:bookmarkEnd w:id="25"/>
    <w:bookmarkStart w:id="26" w:name="X7de9e763b0209d08ecb4643c81327f8abe1774a"/>
    <w:p>
      <w:pPr>
        <w:pStyle w:val="Heading4"/>
      </w:pPr>
      <w:r>
        <w:t xml:space="preserve">Phase II: Filing and Jurisdictional Navigation</w:t>
      </w:r>
    </w:p>
    <w:p>
      <w:pPr>
        <w:pStyle w:val="FirstParagraph"/>
      </w:pPr>
      <w:r>
        <w:t xml:space="preserve">Tehran has specialized courts. A</w:t>
      </w:r>
      <w:r>
        <w:t xml:space="preserve"> </w:t>
      </w:r>
      <w:r>
        <w:rPr>
          <w:bCs/>
          <w:b/>
        </w:rPr>
        <w:t xml:space="preserve">Lawyer</w:t>
      </w:r>
      <w:r>
        <w:t xml:space="preserve"> </w:t>
      </w:r>
      <w:r>
        <w:t xml:space="preserve">must determine whether a case falls under the jurisdiction of the Public and Revolutionary Courts or specific civil tribunals. Misclassification in this step can lead to immediate dismissal, rendering subsequent efforts futile.</w:t>
      </w:r>
    </w:p>
    <w:bookmarkEnd w:id="26"/>
    <w:bookmarkStart w:id="27" w:name="phase-iii-the-trial-observation"/>
    <w:p>
      <w:pPr>
        <w:pStyle w:val="Heading4"/>
      </w:pPr>
      <w:r>
        <w:t xml:space="preserve">Phase III: The Trial Observation</w:t>
      </w:r>
    </w:p>
    <w:p>
      <w:pPr>
        <w:pStyle w:val="FirstParagraph"/>
      </w:pPr>
      <w:r>
        <w:t xml:space="preserve">This is the core observation phase of our</w:t>
      </w:r>
      <w:r>
        <w:t xml:space="preserve"> </w:t>
      </w:r>
      <w:r>
        <w:rPr>
          <w:bCs/>
          <w:b/>
        </w:rPr>
        <w:t xml:space="preserve">Lab Report</w:t>
      </w:r>
      <w:r>
        <w:t xml:space="preserve">. The</w:t>
      </w:r>
      <w:r>
        <w:t xml:space="preserve"> </w:t>
      </w:r>
      <w:r>
        <w:rPr>
          <w:bCs/>
          <w:b/>
        </w:rPr>
        <w:t xml:space="preserve">Lawyer</w:t>
      </w:r>
      <w:r>
        <w:t xml:space="preserve"> </w:t>
      </w:r>
      <w:r>
        <w:t xml:space="preserve">presents arguments based on precedent and statutory interpretation. In</w:t>
      </w:r>
      <w:r>
        <w:t xml:space="preserve"> </w:t>
      </w:r>
      <w:r>
        <w:rPr>
          <w:bCs/>
          <w:b/>
        </w:rPr>
        <w:t xml:space="preserve">Tehran, Iran</w:t>
      </w:r>
      <w:r>
        <w:t xml:space="preserve">, rhetorical strategy often involves appealing to both legal logic and moral righteousness as defined by the state ideology.</w:t>
      </w:r>
    </w:p>
    <w:bookmarkEnd w:id="27"/>
    <w:bookmarkEnd w:id="28"/>
    <w:bookmarkStart w:id="29" w:name="data-analysis-and-observations"/>
    <w:p>
      <w:pPr>
        <w:pStyle w:val="Heading2"/>
      </w:pPr>
      <w:r>
        <w:t xml:space="preserve">5. Data Analysis and Observations</w:t>
      </w:r>
    </w:p>
    <w:p>
      <w:pPr>
        <w:pStyle w:val="FirstParagraph"/>
      </w:pPr>
      <w:r>
        <w:t xml:space="preserve">The data collected from various legal interactions in</w:t>
      </w:r>
      <w:r>
        <w:t xml:space="preserve"> </w:t>
      </w:r>
      <w:r>
        <w:rPr>
          <w:bCs/>
          <w:b/>
        </w:rPr>
        <w:t xml:space="preserve">Tehran, Iran</w:t>
      </w:r>
      <w:r>
        <w:t xml:space="preserve"> </w:t>
      </w:r>
      <w:r>
        <w:t xml:space="preserve">reveals several critical patterns regarding the function of a</w:t>
      </w:r>
      <w:r>
        <w:t xml:space="preserve"> </w:t>
      </w:r>
      <w:r>
        <w:rPr>
          <w:bCs/>
          <w:b/>
        </w:rPr>
        <w:t xml:space="preserve">Lawyer</w:t>
      </w:r>
      <w:r>
        <w:t xml:space="preserve">.</w:t>
      </w:r>
    </w:p>
    <w:p>
      <w:pPr>
        <w:pStyle w:val="BodyText"/>
      </w:pPr>
      <w:r>
        <w:rPr>
          <w:bCs/>
          <w:b/>
        </w:rPr>
        <w:t xml:space="preserve">Critical Factor</w:t>
      </w:r>
    </w:p>
    <w:p>
      <w:pPr>
        <w:pStyle w:val="BodyText"/>
      </w:pPr>
      <w:r>
        <w:rPr>
          <w:bCs/>
          <w:b/>
        </w:rPr>
        <w:t xml:space="preserve">Iran Tehran Context</w:t>
      </w:r>
    </w:p>
    <w:p>
      <w:pPr>
        <w:pStyle w:val="BodyText"/>
      </w:pPr>
      <w:r>
        <w:rPr>
          <w:bCs/>
          <w:b/>
        </w:rPr>
        <w:t xml:space="preserve">Impact on Lawyer Strategy</w:t>
      </w:r>
    </w:p>
    <w:p>
      <w:pPr>
        <w:pStyle w:val="BodyText"/>
      </w:pPr>
      <w:r>
        <w:t xml:space="preserve">Cultural Sensitivity</w:t>
      </w:r>
    </w:p>
    <w:p>
      <w:pPr>
        <w:pStyle w:val="BodyText"/>
      </w:pPr>
      <w:r>
        <w:t xml:space="preserve">HIGH - Religious and social norms dictate admissibility.A Lawyer must frame arguments within culturally acceptable boundaries.</w:t>
      </w:r>
    </w:p>
    <w:p>
      <w:pPr>
        <w:pStyle w:val="BodyText"/>
      </w:pPr>
      <w:r>
        <w:t xml:space="preserve">.654321"</w:t>
      </w:r>
      <w:r>
        <w:br/>
      </w:r>
      <w:r>
        <w:t xml:space="preserve">A Lawyer must navigate potential bureaucratic hurdles and informal networks prevalent in the capital's legal infrastructure.</w:t>
      </w:r>
    </w:p>
    <w:p>
      <w:pPr>
        <w:pStyle w:val="BodyText"/>
      </w:pPr>
      <w:r>
        <w:t xml:space="preserve">The most significant observation from this</w:t>
      </w:r>
      <w:r>
        <w:t xml:space="preserve"> </w:t>
      </w:r>
      <w:r>
        <w:rPr>
          <w:bCs/>
          <w:b/>
        </w:rPr>
        <w:t xml:space="preserve">Lab Report</w:t>
      </w:r>
      <w:r>
        <w:t xml:space="preserve"> </w:t>
      </w:r>
      <w:r>
        <w:t xml:space="preserve">is that a</w:t>
      </w:r>
      <w:r>
        <w:t xml:space="preserve"> </w:t>
      </w:r>
      <w:r>
        <w:rPr>
          <w:bCs/>
          <w:b/>
        </w:rPr>
        <w:t xml:space="preserve">Lawyer</w:t>
      </w:r>
      <w:r>
        <w:t xml:space="preserve"> </w:t>
      </w:r>
      <w:r>
        <w:t xml:space="preserve">in Tehran is not merely a legal technician but also a cultural mediator. The ability to interpret the "spirit" of the law, as opposed to just the letter, is crucial. In</w:t>
      </w:r>
      <w:r>
        <w:t xml:space="preserve"> </w:t>
      </w:r>
      <w:r>
        <w:rPr>
          <w:bCs/>
          <w:b/>
        </w:rPr>
        <w:t xml:space="preserve">Iran Tehran</w:t>
      </w:r>
      <w:r>
        <w:t xml:space="preserve">, judges often have broad discretion influenced by their own jurisprudential views. Therefore, a skilled</w:t>
      </w:r>
      <w:r>
        <w:t xml:space="preserve"> </w:t>
      </w:r>
      <w:r>
        <w:rPr>
          <w:bCs/>
          <w:b/>
        </w:rPr>
        <w:t xml:space="preserve">Lawyer</w:t>
      </w:r>
      <w:r>
        <w:t xml:space="preserve"> </w:t>
      </w:r>
      <w:r>
        <w:t xml:space="preserve">must tailor their approach to the specific judge assigned to the case.</w:t>
      </w:r>
    </w:p>
    <w:bookmarkEnd w:id="29"/>
    <w:bookmarkStart w:id="30" w:name="X21fef74c5fde3dd3ff4e8d2cb6ff5b852a81f36"/>
    <w:p>
      <w:pPr>
        <w:pStyle w:val="Heading2"/>
      </w:pPr>
      <w:r>
        <w:t xml:space="preserve">6. Discussion of Ethical and Procedural Constraints</w:t>
      </w:r>
    </w:p>
    <w:p>
      <w:pPr>
        <w:pStyle w:val="FirstParagraph"/>
      </w:pPr>
      <w:r>
        <w:t xml:space="preserve">The environment in</w:t>
      </w:r>
      <w:r>
        <w:t xml:space="preserve"> </w:t>
      </w:r>
      <w:r>
        <w:rPr>
          <w:bCs/>
          <w:b/>
        </w:rPr>
        <w:t xml:space="preserve">Tehran, Iran</w:t>
      </w:r>
      <w:r>
        <w:t xml:space="preserve">, presents unique challenges that differ from other global jurisdictions. The legal system prioritizes public interest and state security. Consequently, a</w:t>
      </w:r>
      <w:r>
        <w:t xml:space="preserve"> </w:t>
      </w:r>
      <w:r>
        <w:rPr>
          <w:bCs/>
          <w:b/>
        </w:rPr>
        <w:t xml:space="preserve">Lawyer</w:t>
      </w:r>
      <w:r>
        <w:t xml:space="preserve"> </w:t>
      </w:r>
      <w:r>
        <w:t xml:space="preserve">must carefully balance the defense of their client with the imperative to respect judicial authority.</w:t>
      </w:r>
    </w:p>
    <w:p>
      <w:pPr>
        <w:pStyle w:val="BodyText"/>
      </w:pPr>
      <w:r>
        <w:t xml:space="preserve">Furthermore, confidentiality is a cornerstone of any</w:t>
      </w:r>
    </w:p>
    <w:p>
      <w:pPr>
        <w:pStyle w:val="BodyText"/>
      </w:pPr>
      <w:r>
        <w:t xml:space="preserve">Lab Report</w:t>
      </w:r>
    </w:p>
    <w:p>
      <w:pPr>
        <w:pStyle w:val="BodyText"/>
      </w:pPr>
      <w:r>
        <w:t xml:space="preserve">, and legal practice. However, in sensitive cases involving state security in Tehran, communication channels may be monitored. This requires the</w:t>
      </w:r>
      <w:r>
        <w:t xml:space="preserve"> </w:t>
      </w:r>
      <w:r>
        <w:rPr>
          <w:bCs/>
          <w:b/>
        </w:rPr>
        <w:t xml:space="preserve">Lawyer</w:t>
      </w:r>
      <w:r>
        <w:t xml:space="preserve"> </w:t>
      </w:r>
      <w:r>
        <w:t xml:space="preserve">to exercise extreme caution in documentation and client communication.</w:t>
      </w:r>
    </w:p>
    <w:bookmarkEnd w:id="30"/>
    <w:bookmarkStart w:id="31" w:name="conclusion"/>
    <w:p>
      <w:pPr>
        <w:pStyle w:val="Heading2"/>
      </w:pPr>
      <w:r>
        <w:t xml:space="preserve">7. Conclusion</w:t>
      </w:r>
    </w:p>
    <w:p>
      <w:pPr>
        <w:pStyle w:val="FirstParagraph"/>
      </w:pPr>
      <w:r>
        <w:t xml:space="preserve">This</w:t>
      </w:r>
    </w:p>
    <w:p>
      <w:pPr>
        <w:pStyle w:val="BodyText"/>
      </w:pPr>
      <w:r>
        <w:t xml:space="preserve">Lab Report</w:t>
      </w:r>
    </w:p>
    <w:p>
      <w:pPr>
        <w:pStyle w:val="BodyText"/>
      </w:pPr>
      <w:r>
        <w:t xml:space="preserve">concludes that the role of a</w:t>
      </w:r>
    </w:p>
    <w:p>
      <w:pPr>
        <w:pStyle w:val="BodyText"/>
      </w:pPr>
      <w:r>
        <w:t xml:space="preserve">Lawyer</w:t>
      </w:r>
    </w:p>
    <w:p>
      <w:pPr>
        <w:pStyle w:val="BodyText"/>
      </w:pPr>
      <w:r>
        <w:t xml:space="preserve">in</w:t>
      </w:r>
      <w:r>
        <w:t xml:space="preserve"> </w:t>
      </w:r>
      <w:r>
        <w:rPr>
          <w:bCs/>
          <w:b/>
        </w:rPr>
        <w:t xml:space="preserve">Tehran, Iran</w:t>
      </w:r>
      <w:r>
        <w:t xml:space="preserve">, is multifaceted and demanding. Success in this jurisdiction requires more than rote memorization of laws; it demands a deep understanding of the interplay between Islamic ethics, civil code, and socio-political realities. The data suggests that clients seeking representation in Tehran must select lawyers who demonstrate not only technical proficiency but also cultural intelligence and strategic adaptability.</w:t>
      </w:r>
    </w:p>
    <w:p>
      <w:pPr>
        <w:pStyle w:val="BodyText"/>
      </w:pPr>
      <w:r>
        <w:t xml:space="preserve">In summary, the legal laboratory of</w:t>
      </w:r>
      <w:r>
        <w:t xml:space="preserve"> </w:t>
      </w:r>
      <w:r>
        <w:rPr>
          <w:bCs/>
          <w:b/>
        </w:rPr>
        <w:t xml:space="preserve">Iran Tehran</w:t>
      </w:r>
      <w:r>
        <w:t xml:space="preserve"> </w:t>
      </w:r>
      <w:r>
        <w:t xml:space="preserve">operates on principles that require a specialized approach. A</w:t>
      </w:r>
    </w:p>
    <w:p>
      <w:pPr>
        <w:pStyle w:val="BodyText"/>
      </w:pPr>
      <w:r>
        <w:t xml:space="preserve">Lawyer</w:t>
      </w:r>
    </w:p>
    <w:p>
      <w:pPr>
        <w:pStyle w:val="BodyText"/>
      </w:pPr>
      <w:r>
        <w:t xml:space="preserve">serves as the primary catalyst in this experiment, attempting to produce a just outcome within a constrained and complex system. Future research should focus on the impact of recent judicial reforms in Tehran on case resolution times.</w:t>
      </w:r>
    </w:p>
    <w:p>
      <w:r>
        <w:pict>
          <v:rect style="width:0;height:1.5pt" o:hralign="center" o:hrstd="t" o:hr="t"/>
        </w:pict>
      </w:r>
    </w:p>
    <w:p>
      <w:pPr>
        <w:pStyle w:val="FirstParagraph"/>
      </w:pPr>
      <w:r>
        <w:rPr>
          <w:iCs/>
          <w:i/>
        </w:rPr>
        <w:t xml:space="preserve">Document prepared for internal review regarding legal strategies in Iran Tehran.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Advocacy and Jurisprudential Analysis in the Islamic Republic of Iran</dc:title>
  <dc:creator/>
  <dc:language>en</dc:language>
  <cp:keywords/>
  <dcterms:created xsi:type="dcterms:W3CDTF">2026-07-29T14:58:58Z</dcterms:created>
  <dcterms:modified xsi:type="dcterms:W3CDTF">2026-07-29T14:58:58Z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