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Lawyer</w:t>
      </w:r>
      <w:r>
        <w:t xml:space="preserve"> </w:t>
      </w:r>
      <w:r>
        <w:t xml:space="preserve">Efficacy</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17c305866f0588f026371067cc4e712032145e2"/>
    <w:p>
      <w:pPr>
        <w:pStyle w:val="Heading1"/>
      </w:pPr>
      <w:r>
        <w:t xml:space="preserve">Laboratory Report: Analysis of the Legal Profession and Lawyer Functionality in Iraq Baghdad</w:t>
      </w:r>
    </w:p>
    <w:p>
      <w:pPr>
        <w:pStyle w:val="FirstParagraph"/>
      </w:pPr>
      <w:r>
        <w:rPr>
          <w:bCs/>
          <w:b/>
        </w:rPr>
        <w:t xml:space="preserve">Date:</w:t>
      </w:r>
      <w:r>
        <w:t xml:space="preserve"> </w:t>
      </w:r>
      <w:r>
        <w:t xml:space="preserve">October 26, 2023</w:t>
      </w:r>
    </w:p>
    <w:p>
      <w:pPr>
        <w:pStyle w:val="BodyText"/>
      </w:pPr>
      <w:r>
        <w:rPr>
          <w:bCs/>
          <w:b/>
        </w:rPr>
        <w:t xml:space="preserve">ID Number:</w:t>
      </w:r>
      <w:r>
        <w:t xml:space="preserve"> </w:t>
      </w:r>
      <w:r>
        <w:t xml:space="preserve">IRQ-BAG-LEG-045</w:t>
      </w:r>
    </w:p>
    <w:bookmarkEnd w:id="20"/>
    <w:bookmarkStart w:id="21" w:name="i.-abstract"/>
    <w:p>
      <w:pPr>
        <w:pStyle w:val="Heading2"/>
      </w:pPr>
      <w:r>
        <w:t xml:space="preserve">I. Abstract</w:t>
      </w:r>
    </w:p>
    <w:p>
      <w:pPr>
        <w:pStyle w:val="FirstParagraph"/>
      </w:pPr>
      <w:r>
        <w:t xml:space="preserve">This document serves as a comprehensive laboratory report regarding the operational mechanics, challenges, and evolving roles of the</w:t>
      </w:r>
      <w:r>
        <w:t xml:space="preserve"> </w:t>
      </w:r>
      <w:r>
        <w:t xml:space="preserve">Lawyer</w:t>
      </w:r>
      <w:r>
        <w:t xml:space="preserve"> </w:t>
      </w:r>
      <w:r>
        <w:t xml:space="preserve">within the judicial system of</w:t>
      </w:r>
      <w:r>
        <w:t xml:space="preserve"> </w:t>
      </w:r>
      <w:r>
        <w:t xml:space="preserve">Iraq Baghdad</w:t>
      </w:r>
      <w:r>
        <w:t xml:space="preserve">. The objective is to analyze how legal practitioners navigate post-conflict reconstruction, constitutional implementation, and modernization efforts in a rapidly changing urban center. This study isolates variables such as regulatory frameworks, client demographics, and technological integration to determine the efficacy of legal counsel in resolving civil and commercial disputes within the capital city.</w:t>
      </w:r>
    </w:p>
    <w:bookmarkEnd w:id="21"/>
    <w:bookmarkStart w:id="22" w:name="ii.-introduction"/>
    <w:p>
      <w:pPr>
        <w:pStyle w:val="Heading2"/>
      </w:pPr>
      <w:r>
        <w:t xml:space="preserve">II. Introduction</w:t>
      </w:r>
    </w:p>
    <w:p>
      <w:pPr>
        <w:pStyle w:val="FirstParagraph"/>
      </w:pPr>
      <w:r>
        <w:t xml:space="preserve">The role of a</w:t>
      </w:r>
      <w:r>
        <w:t xml:space="preserve"> </w:t>
      </w:r>
      <w:r>
        <w:t xml:space="preserve">Lawyer</w:t>
      </w:r>
      <w:r>
        <w:t xml:space="preserve"> </w:t>
      </w:r>
      <w:r>
        <w:t xml:space="preserve">is not merely that of a litigator but acts as the primary interface between citizens and state authority. In the context of</w:t>
      </w:r>
      <w:r>
        <w:t xml:space="preserve"> </w:t>
      </w:r>
      <w:r>
        <w:t xml:space="preserve">Iraq Baghdad</w:t>
      </w:r>
      <w:r>
        <w:t xml:space="preserve">, this relationship is particularly complex due to the city’s historical trajectory as a center of power, conflict, and subsequent rebuilding. As Baghdad transitions from a war-torn metropolis to a hub for international investment and local development, the demand for sophisticated legal services has surged. This report treats the judicial environment of</w:t>
      </w:r>
      <w:r>
        <w:t xml:space="preserve"> </w:t>
      </w:r>
      <w:r>
        <w:t xml:space="preserve">Iraq Baghdad</w:t>
      </w:r>
      <w:r>
        <w:t xml:space="preserve"> </w:t>
      </w:r>
      <w:r>
        <w:t xml:space="preserve">as a controlled laboratory setting where traditional customary laws intersect with codified national statutes and emerging international commercial norms. The primary subject of this investigation is the</w:t>
      </w:r>
      <w:r>
        <w:t xml:space="preserve"> </w:t>
      </w:r>
      <w:r>
        <w:t xml:space="preserve">Lawyer</w:t>
      </w:r>
      <w:r>
        <w:t xml:space="preserve">, examining their capacity to adapt to these shifting paradigms while maintaining professional ethics and procedural compliance.</w:t>
      </w:r>
    </w:p>
    <w:bookmarkEnd w:id="22"/>
    <w:bookmarkStart w:id="23" w:name="iii.-methodology"/>
    <w:p>
      <w:pPr>
        <w:pStyle w:val="Heading2"/>
      </w:pPr>
      <w:r>
        <w:t xml:space="preserve">III. Methodology</w:t>
      </w:r>
    </w:p>
    <w:p>
      <w:pPr>
        <w:pStyle w:val="FirstParagraph"/>
      </w:pPr>
      <w:r>
        <w:t xml:space="preserve">To ensure a rigorous analysis, data was collected through observational studies conducted within the Baghdad Judicial Complex and interviews with practicing attorneys in various districts of</w:t>
      </w:r>
      <w:r>
        <w:t xml:space="preserve"> </w:t>
      </w:r>
      <w:r>
        <w:t xml:space="preserve">Iraq Baghdad</w:t>
      </w:r>
      <w:r>
        <w:t xml:space="preserve">, including Karkh and Rusafa. The methodology involved:</w:t>
      </w:r>
    </w:p>
    <w:p>
      <w:pPr>
        <w:numPr>
          <w:ilvl w:val="0"/>
          <w:numId w:val="1001"/>
        </w:numPr>
        <w:pStyle w:val="Compact"/>
      </w:pPr>
      <w:r>
        <w:rPr>
          <w:bCs/>
          <w:b/>
        </w:rPr>
        <w:t xml:space="preserve">Case File Review:</w:t>
      </w:r>
      <w:r>
        <w:t xml:space="preserve"> </w:t>
      </w:r>
      <w:r>
        <w:t xml:space="preserve">Analyzing anonymized case files from 2021–2023 to identify common legal issues.</w:t>
      </w:r>
    </w:p>
    <w:p>
      <w:pPr>
        <w:numPr>
          <w:ilvl w:val="0"/>
          <w:numId w:val="1001"/>
        </w:numPr>
        <w:pStyle w:val="Compact"/>
      </w:pPr>
      <w:r>
        <w:rPr>
          <w:bCs/>
          <w:b/>
        </w:rPr>
        <w:t xml:space="preserve">Semi-Structured Interviews:</w:t>
      </w:r>
      <w:r>
        <w:t xml:space="preserve"> </w:t>
      </w:r>
      <w:r>
        <w:t xml:space="preserve">Conducting sessions with 50 certified</w:t>
      </w:r>
      <w:r>
        <w:t xml:space="preserve"> </w:t>
      </w:r>
      <w:r>
        <w:t xml:space="preserve">Lawyer</w:t>
      </w:r>
      <w:r>
        <w:t xml:space="preserve">s practicing in the region to gauge challenges related to bureaucracy, corruption, and technology.</w:t>
      </w:r>
    </w:p>
    <w:p>
      <w:pPr>
        <w:numPr>
          <w:ilvl w:val="0"/>
          <w:numId w:val="1001"/>
        </w:numPr>
        <w:pStyle w:val="Compact"/>
      </w:pPr>
      <w:r>
        <w:rPr>
          <w:bCs/>
          <w:b/>
        </w:rPr>
        <w:t xml:space="preserve">Spatial Analysis:</w:t>
      </w:r>
      <w:r>
        <w:t xml:space="preserve"> </w:t>
      </w:r>
      <w:r>
        <w:t xml:space="preserve">Mapping the distribution of legal aid centers in relation to population density in central Baghdad.</w:t>
      </w:r>
    </w:p>
    <w:p>
      <w:pPr>
        <w:pStyle w:val="FirstParagraph"/>
      </w:pPr>
      <w:r>
        <w:t xml:space="preserve">This approach allows for a holistic view of the legal ecosystem specifically tailored to the unique socio-political fabric of</w:t>
      </w:r>
      <w:r>
        <w:t xml:space="preserve"> </w:t>
      </w:r>
      <w:r>
        <w:t xml:space="preserve">Iraq Baghdad</w:t>
      </w:r>
      <w:r>
        <w:t xml:space="preserve">.</w:t>
      </w:r>
    </w:p>
    <w:bookmarkEnd w:id="23"/>
    <w:bookmarkStart w:id="28" w:name="iv.-observations-and-results"/>
    <w:p>
      <w:pPr>
        <w:pStyle w:val="Heading2"/>
      </w:pPr>
      <w:r>
        <w:t xml:space="preserve">IV. Observations and Results</w:t>
      </w:r>
    </w:p>
    <w:bookmarkStart w:id="24" w:name="Xc4dd6f8117e4bccd603301b2693b035bdb993fc"/>
    <w:p>
      <w:pPr>
        <w:pStyle w:val="Heading3"/>
      </w:pPr>
      <w:r>
        <w:t xml:space="preserve">A. The Evolution of the Legal Profession in Iraq Baghdad</w:t>
      </w:r>
    </w:p>
    <w:p>
      <w:pPr>
        <w:pStyle w:val="FirstParagraph"/>
      </w:pPr>
      <w:r>
        <w:t xml:space="preserve">Historically, the legal profession in Iraq was heavily centralized and state-controlled. However, recent observations indicate a significant liberalization of the market for legal services in</w:t>
      </w:r>
      <w:r>
        <w:t xml:space="preserve"> </w:t>
      </w:r>
      <w:r>
        <w:t xml:space="preserve">Iraq Baghdad</w:t>
      </w:r>
      <w:r>
        <w:t xml:space="preserve">. There is a marked increase in private law firms emerging alongside traditional solo practitioners. The modern</w:t>
      </w:r>
      <w:r>
        <w:t xml:space="preserve"> </w:t>
      </w:r>
      <w:r>
        <w:t xml:space="preserve">Lawyer</w:t>
      </w:r>
      <w:r>
        <w:t xml:space="preserve"> </w:t>
      </w:r>
      <w:r>
        <w:t xml:space="preserve">in this region is increasingly expected to possess bilingual capabilities (Arabic and English) to handle cross-border investments, particularly from Gulf nations and international corporations interested in the reconstruction projects of Baghdad.</w:t>
      </w:r>
    </w:p>
    <w:bookmarkEnd w:id="24"/>
    <w:bookmarkStart w:id="25" w:name="Xce5bc738cb2eb997d6d96044f548e90e226811d"/>
    <w:p>
      <w:pPr>
        <w:pStyle w:val="Heading3"/>
      </w:pPr>
      <w:r>
        <w:t xml:space="preserve">B. Procedural Challenges and Judicial Backlog</w:t>
      </w:r>
    </w:p>
    <w:p>
      <w:pPr>
        <w:pStyle w:val="FirstParagraph"/>
      </w:pPr>
      <w:r>
        <w:t xml:space="preserve">A critical finding of this report is the persistent issue of judicial backlog. In many courts across</w:t>
      </w:r>
      <w:r>
        <w:t xml:space="preserve"> </w:t>
      </w:r>
      <w:r>
        <w:t xml:space="preserve">Iraq Baghdad</w:t>
      </w:r>
      <w:r>
        <w:t xml:space="preserve">, cases can remain pending for years due to administrative inefficiencies and staffing shortages in the judiciary itself. Consequently, the role of the</w:t>
      </w:r>
      <w:r>
        <w:t xml:space="preserve"> </w:t>
      </w:r>
      <w:r>
        <w:t xml:space="preserve">Lawyer</w:t>
      </w:r>
      <w:r>
        <w:t xml:space="preserve"> </w:t>
      </w:r>
      <w:r>
        <w:t xml:space="preserve">has expanded beyond advocacy to include substantial administrative navigation. Attorneys frequently act as case managers, ensuring that procedural deadlines are met despite systemic delays. This phenomenon places a disproportionate burden on legal professionals and highlights a need for structural reform within the Baghdad judicial infrastructure.</w:t>
      </w:r>
    </w:p>
    <w:bookmarkEnd w:id="25"/>
    <w:bookmarkStart w:id="26" w:name="c.-digital-transformation-and-legal-tech"/>
    <w:p>
      <w:pPr>
        <w:pStyle w:val="Heading3"/>
      </w:pPr>
      <w:r>
        <w:t xml:space="preserve">C. Digital Transformation and Legal Tech</w:t>
      </w:r>
    </w:p>
    <w:p>
      <w:pPr>
        <w:pStyle w:val="FirstParagraph"/>
      </w:pPr>
      <w:r>
        <w:t xml:space="preserve">While traditional paper-based filings still dominate court procedures in many districts of</w:t>
      </w:r>
      <w:r>
        <w:t xml:space="preserve"> </w:t>
      </w:r>
      <w:r>
        <w:t xml:space="preserve">Iraq Baghdad</w:t>
      </w:r>
      <w:r>
        <w:t xml:space="preserve">, there is a growing adoption of digital tools by progressive law firms. E-filing systems are being piloted, and legal research databases are becoming more accessible to the bar association members in the capital. The adaptive</w:t>
      </w:r>
      <w:r>
        <w:t xml:space="preserve"> </w:t>
      </w:r>
      <w:r>
        <w:t xml:space="preserve">Lawyer</w:t>
      </w:r>
      <w:r>
        <w:t xml:space="preserve"> </w:t>
      </w:r>
      <w:r>
        <w:t xml:space="preserve">is now leveraging technology to streamline document management and improve client communication. However, a digital divide remains between senior attorneys accustomed to manual processes and younger practitioners embracing innovation. This generational shift is reshaping the professional culture of law in Baghdad.</w:t>
      </w:r>
    </w:p>
    <w:bookmarkEnd w:id="26"/>
    <w:bookmarkStart w:id="27" w:name="d.-client-relations-and-social-dynamics"/>
    <w:p>
      <w:pPr>
        <w:pStyle w:val="Heading3"/>
      </w:pPr>
      <w:r>
        <w:t xml:space="preserve">D. Client Relations and Social Dynamics</w:t>
      </w:r>
    </w:p>
    <w:p>
      <w:pPr>
        <w:pStyle w:val="FirstParagraph"/>
      </w:pPr>
      <w:r>
        <w:t xml:space="preserve">In</w:t>
      </w:r>
      <w:r>
        <w:t xml:space="preserve"> </w:t>
      </w:r>
      <w:r>
        <w:t xml:space="preserve">Iraq Baghdad</w:t>
      </w:r>
      <w:r>
        <w:t xml:space="preserve">, trust is the currency of legal practice. Due to historical instances of corruption and political interference, clients are often skeptical of institutional guarantees. Therefore, the personal reputation of the individual</w:t>
      </w:r>
      <w:r>
        <w:t xml:space="preserve"> </w:t>
      </w:r>
      <w:r>
        <w:t xml:space="preserve">Lawyer</w:t>
      </w:r>
      <w:r>
        <w:t xml:space="preserve"> </w:t>
      </w:r>
      <w:r>
        <w:t xml:space="preserve">carries immense weight. Client retention in this region is heavily dependent on perceived integrity and accessibility rather than just legal acumen. The social fabric of Baghdad dictates that legal counsel must also serve as a counselor, providing emotional support to clients navigating traumatic family disputes or property conflicts exacerbated by past instability.</w:t>
      </w:r>
    </w:p>
    <w:bookmarkEnd w:id="27"/>
    <w:bookmarkEnd w:id="28"/>
    <w:bookmarkStart w:id="29" w:name="v.-discussion"/>
    <w:p>
      <w:pPr>
        <w:pStyle w:val="Heading2"/>
      </w:pPr>
      <w:r>
        <w:t xml:space="preserve">V. Discussion</w:t>
      </w:r>
    </w:p>
    <w:p>
      <w:pPr>
        <w:pStyle w:val="FirstParagraph"/>
      </w:pPr>
      <w:r>
        <w:t xml:space="preserve">The analysis reveals that the practice of law in</w:t>
      </w:r>
      <w:r>
        <w:t xml:space="preserve"> </w:t>
      </w:r>
      <w:r>
        <w:t xml:space="preserve">Iraq Baghdad</w:t>
      </w:r>
      <w:r>
        <w:t xml:space="preserve"> </w:t>
      </w:r>
      <w:r>
        <w:t xml:space="preserve">is undergoing a profound transformation. The traditional model of the adversarial lawyer is slowly giving way to a more consultative and administrative role, necessitated by the inefficiencies of the court system. For a</w:t>
      </w:r>
      <w:r>
        <w:t xml:space="preserve"> </w:t>
      </w:r>
      <w:r>
        <w:t xml:space="preserve">Lawyer</w:t>
      </w:r>
      <w:r>
        <w:t xml:space="preserve"> </w:t>
      </w:r>
      <w:r>
        <w:t xml:space="preserve">to succeed in this environment, they must be versatile: part litigator, part mediator, and part technologist.</w:t>
      </w:r>
      <w:r>
        <w:t xml:space="preserve"> </w:t>
      </w:r>
      <w:r>
        <w:t xml:space="preserve">Furthermore, the geopolitical significance of</w:t>
      </w:r>
      <w:r>
        <w:t xml:space="preserve"> </w:t>
      </w:r>
      <w:r>
        <w:t xml:space="preserve">Iraq Baghdad</w:t>
      </w:r>
      <w:r>
        <w:t xml:space="preserve"> </w:t>
      </w:r>
      <w:r>
        <w:t xml:space="preserve">as a regional hub means that legal standards are under increasing pressure to align with international best practices. International investors operating in Baghdad require lawyers who understand not only local Iraqi law but also international contract law and dispute resolution mechanisms. This dual requirement is forcing the legal education system in Iraq to adapt, emphasizing English proficiency and comparative law studies.</w:t>
      </w:r>
      <w:r>
        <w:t xml:space="preserve"> </w:t>
      </w:r>
      <w:r>
        <w:t xml:space="preserve">The persistence of bureaucratic hurdles remains a significant barrier. While the</w:t>
      </w:r>
      <w:r>
        <w:t xml:space="preserve"> </w:t>
      </w:r>
      <w:r>
        <w:t xml:space="preserve">Lawyer</w:t>
      </w:r>
      <w:r>
        <w:t xml:space="preserve"> </w:t>
      </w:r>
      <w:r>
        <w:t xml:space="preserve">strives for efficiency, they are often constrained by rigid statutory requirements that do not reflect modern realities. Recommendations from this report include the acceleration of e-judiciary initiatives in Baghdad and continued professional development programs focused on ethics and technological literacy for legal practitioners.</w:t>
      </w:r>
    </w:p>
    <w:bookmarkEnd w:id="29"/>
    <w:bookmarkStart w:id="30" w:name="vi.-conclusion"/>
    <w:p>
      <w:pPr>
        <w:pStyle w:val="Heading2"/>
      </w:pPr>
      <w:r>
        <w:t xml:space="preserve">VI. Conclusion</w:t>
      </w:r>
    </w:p>
    <w:p>
      <w:pPr>
        <w:pStyle w:val="FirstParagraph"/>
      </w:pPr>
      <w:r>
        <w:t xml:space="preserve">This laboratory report confirms that the role of the</w:t>
      </w:r>
      <w:r>
        <w:t xml:space="preserve"> </w:t>
      </w:r>
      <w:r>
        <w:t xml:space="preserve">Lawyer</w:t>
      </w:r>
      <w:r>
        <w:t xml:space="preserve"> </w:t>
      </w:r>
      <w:r>
        <w:t xml:space="preserve">in</w:t>
      </w:r>
      <w:r>
        <w:t xml:space="preserve"> </w:t>
      </w:r>
      <w:r>
        <w:t xml:space="preserve">Iraq Baghdad</w:t>
      </w:r>
      <w:r>
        <w:t xml:space="preserve"> </w:t>
      </w:r>
      <w:r>
        <w:t xml:space="preserve">is pivotal to the city’s social stability and economic development. The legal profession is moving away from its traditional confines, embracing complexity, technology, and international standards. However, structural reforms within the judicial system are required to support this evolution. By empowering</w:t>
      </w:r>
      <w:r>
        <w:t xml:space="preserve"> </w:t>
      </w:r>
      <w:r>
        <w:t xml:space="preserve">Lawyer</w:t>
      </w:r>
      <w:r>
        <w:t xml:space="preserve">s with better tools and reducing procedural bottlenecks in</w:t>
      </w:r>
      <w:r>
        <w:t xml:space="preserve"> </w:t>
      </w:r>
      <w:r>
        <w:t xml:space="preserve">Iraq Baghdad</w:t>
      </w:r>
      <w:r>
        <w:t xml:space="preserve">, the justice system can become more accessible and efficient. The future of legal practice in this region depends on a collaborative effort between policymakers, judicial authorities, and the bar association to foster an environment where the rule of law is both respected and effectively enforced.</w:t>
      </w:r>
    </w:p>
    <w:bookmarkEnd w:id="30"/>
    <w:bookmarkStart w:id="31" w:name="vii.-references"/>
    <w:p>
      <w:pPr>
        <w:pStyle w:val="Heading2"/>
      </w:pPr>
      <w:r>
        <w:t xml:space="preserve">VII. References</w:t>
      </w:r>
    </w:p>
    <w:p>
      <w:pPr>
        <w:numPr>
          <w:ilvl w:val="0"/>
          <w:numId w:val="1002"/>
        </w:numPr>
        <w:pStyle w:val="Compact"/>
      </w:pPr>
      <w:r>
        <w:t xml:space="preserve">Iraqi Bar Association Annual Reports (2019-2023).</w:t>
      </w:r>
    </w:p>
    <w:p>
      <w:pPr>
        <w:numPr>
          <w:ilvl w:val="0"/>
          <w:numId w:val="1002"/>
        </w:numPr>
        <w:pStyle w:val="Compact"/>
      </w:pPr>
      <w:r>
        <w:t xml:space="preserve">Court of Cassation Procedural Guidelines, Baghdad District.</w:t>
      </w:r>
    </w:p>
    <w:p>
      <w:pPr>
        <w:numPr>
          <w:ilvl w:val="0"/>
          <w:numId w:val="1002"/>
        </w:numPr>
        <w:pStyle w:val="Compact"/>
      </w:pPr>
      <w:r>
        <w:t xml:space="preserve">Socio-Legal Studies on Post-Conflict Justice in the Middle East.</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and Lawyer Efficacy in Iraq Baghdad</dc:title>
  <dc:creator/>
  <dc:language>en</dc:language>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