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for</w:t>
      </w:r>
      <w:r>
        <w:t xml:space="preserve"> </w:t>
      </w:r>
      <w:r>
        <w:t xml:space="preserve">Lawyer</w:t>
      </w:r>
      <w:r>
        <w:t xml:space="preserve"> </w:t>
      </w:r>
      <w:r>
        <w:t xml:space="preserve">Practice</w:t>
      </w:r>
      <w:r>
        <w:t xml:space="preserve"> </w:t>
      </w:r>
      <w:r>
        <w:t xml:space="preserve">in</w:t>
      </w:r>
      <w:r>
        <w:t xml:space="preserve"> </w:t>
      </w:r>
      <w:r>
        <w:t xml:space="preserve">Japan</w:t>
      </w:r>
      <w:r>
        <w:t xml:space="preserve"> </w:t>
      </w:r>
      <w:r>
        <w:t xml:space="preserve">Tokyo</w:t>
      </w:r>
    </w:p>
    <w:bookmarkStart w:id="28" w:name="Xb658d1ce85c86ab97c83817b7cd8a631334566b"/>
    <w:p>
      <w:pPr>
        <w:pStyle w:val="Heading1"/>
      </w:pPr>
      <w:r>
        <w:t xml:space="preserve">FORMAL DOCUMENTATION: LEGAL OPERATIONAL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Legal Consultants and International Partners</w:t>
      </w:r>
      <w:r>
        <w:br/>
      </w:r>
      <w:r>
        <w:rPr>
          <w:bCs/>
          <w:b/>
        </w:rPr>
        <w:t xml:space="preserve">About:</w:t>
      </w:r>
      <w:r>
        <w:t xml:space="preserve"> </w:t>
      </w:r>
      <w:r>
        <w:t xml:space="preserve">Comprehensive Procedural Report on the Lawyer Profile for Jurisdictional Compliance in Japan Tokyo</w:t>
      </w:r>
    </w:p>
    <w:bookmarkStart w:id="20" w:name="absolute-abstract"/>
    <w:p>
      <w:pPr>
        <w:pStyle w:val="Heading2"/>
      </w:pPr>
      <w:r>
        <w:t xml:space="preserve">Absolute Abstract</w:t>
      </w:r>
    </w:p>
    <w:p>
      <w:pPr>
        <w:pStyle w:val="FirstParagraph"/>
      </w:pPr>
      <w:r>
        <w:t xml:space="preserve">The primary objective of this document is to provide a rigorous, laboratory-grade dissection of the professional requirements, ethical standards, and procedural nuances required for a</w:t>
      </w:r>
      <w:r>
        <w:t xml:space="preserve"> </w:t>
      </w:r>
      <w:r>
        <w:rPr>
          <w:bCs/>
          <w:b/>
        </w:rPr>
        <w:t xml:space="preserve">Lawyer</w:t>
      </w:r>
      <w:r>
        <w:t xml:space="preserve"> </w:t>
      </w:r>
      <w:r>
        <w:t xml:space="preserve">intending to practice law within the specific geographic and regulatory confines of</w:t>
      </w:r>
      <w:r>
        <w:t xml:space="preserve"> </w:t>
      </w:r>
      <w:r>
        <w:rPr>
          <w:bCs/>
          <w:b/>
        </w:rPr>
        <w:t xml:space="preserve">Japan Tokyo</w:t>
      </w:r>
      <w:r>
        <w:t xml:space="preserve">. This report functions not merely as a theoretical overview but as an empirical investigation into how legal statutes intersect with local cultural expectations in the capital region. The analysis focuses on the transformation of abstract legal knowledge into actionable, compliant professional conduct, treating every case filed in</w:t>
      </w:r>
      <w:r>
        <w:t xml:space="preserve"> </w:t>
      </w:r>
      <w:r>
        <w:rPr>
          <w:bCs/>
          <w:b/>
        </w:rPr>
        <w:t xml:space="preserve">Japan Tokyo</w:t>
      </w:r>
      <w:r>
        <w:t xml:space="preserve"> </w:t>
      </w:r>
      <w:r>
        <w:t xml:space="preserve">as a distinct experimental unit subject to strict procedural variables.</w:t>
      </w:r>
    </w:p>
    <w:bookmarkEnd w:id="20"/>
    <w:bookmarkStart w:id="21" w:name="Xb3cbc4d207f837a92ceb84334dfc5c8e7396700"/>
    <w:p>
      <w:pPr>
        <w:pStyle w:val="Heading2"/>
      </w:pPr>
      <w:r>
        <w:t xml:space="preserve">1. Experimental Setup: Regulatory Environment in Japan Tokyo</w:t>
      </w:r>
    </w:p>
    <w:p>
      <w:pPr>
        <w:pStyle w:val="FirstParagraph"/>
      </w:pPr>
      <w:r>
        <w:t xml:space="preserve">The operational environment for any</w:t>
      </w:r>
      <w:r>
        <w:t xml:space="preserve"> </w:t>
      </w:r>
      <w:r>
        <w:rPr>
          <w:bCs/>
          <w:b/>
        </w:rPr>
        <w:t xml:space="preserve">Lawyer</w:t>
      </w:r>
      <w:r>
        <w:t xml:space="preserve"> </w:t>
      </w:r>
      <w:r>
        <w:t xml:space="preserve">operating in</w:t>
      </w:r>
      <w:r>
        <w:t xml:space="preserve"> </w:t>
      </w:r>
      <w:r>
        <w:rPr>
          <w:bCs/>
          <w:b/>
        </w:rPr>
        <w:t xml:space="preserve">Japan Tokyo</w:t>
      </w:r>
      <w:r>
        <w:br/>
      </w:r>
      <w:r>
        <w:t xml:space="preserve">is governed by the Attorneys Act of 1949 and the regulations enforced by the Japan Federation of Bar Associations (JFBA). In this context, "experimentation" refers to the dynamic application of these statutes within the bustling metropolis known as</w:t>
      </w:r>
      <w:r>
        <w:t xml:space="preserve"> </w:t>
      </w:r>
      <w:r>
        <w:rPr>
          <w:bCs/>
          <w:b/>
        </w:rPr>
        <w:t xml:space="preserve">Japan Tokyo</w:t>
      </w:r>
      <w:r>
        <w:t xml:space="preserve">. The capital region exhibits a unique density of legal precedent compared to rural prefectures. Therefore, a</w:t>
      </w:r>
      <w:r>
        <w:t xml:space="preserve"> </w:t>
      </w:r>
      <w:r>
        <w:rPr>
          <w:bCs/>
          <w:b/>
        </w:rPr>
        <w:t xml:space="preserve">Lawyer</w:t>
      </w:r>
      <w:r>
        <w:t xml:space="preserve"> </w:t>
      </w:r>
      <w:r>
        <w:t xml:space="preserve">must adapt their methodology to account for the highly specialized nature of cases originating in this district, ranging from complex intellectual property disputes in Shinjuku to corporate mergers centered around the financial districts of Chuo-ku. The "lab conditions" imply a high-stakes environment where procedural errors are not merely mistakes but potential violations of professional ethics that could result disbarment or severe litigation consequences.</w:t>
      </w:r>
    </w:p>
    <w:bookmarkEnd w:id="21"/>
    <w:bookmarkStart w:id="24" w:name="Xe299148810eca1a5911cc667a74c70fff79f185"/>
    <w:p>
      <w:pPr>
        <w:pStyle w:val="Heading2"/>
      </w:pPr>
      <w:r>
        <w:t xml:space="preserve">2. Methodology: Jurisdictional Competence and Cultural Integration</w:t>
      </w:r>
    </w:p>
    <w:p>
      <w:pPr>
        <w:pStyle w:val="FirstParagraph"/>
      </w:pPr>
      <w:r>
        <w:t xml:space="preserve">To successfully operate as a</w:t>
      </w:r>
      <w:r>
        <w:t xml:space="preserve"> </w:t>
      </w:r>
      <w:r>
        <w:rPr>
          <w:bCs/>
          <w:b/>
        </w:rPr>
        <w:t xml:space="preserve">Lawyer</w:t>
      </w:r>
      <w:r>
        <w:br/>
      </w:r>
      <w:r>
        <w:t xml:space="preserve">in</w:t>
      </w:r>
      <w:r>
        <w:t xml:space="preserve"> </w:t>
      </w:r>
      <w:r>
        <w:rPr>
          <w:bCs/>
          <w:b/>
        </w:rPr>
        <w:t xml:space="preserve">Japan Tokyo</w:t>
      </w:r>
      <w:r>
        <w:t xml:space="preserve">, one must employ a methodology that bridges the gap between common law adversarial traditions (if applicable to the practitioner's background) and Japan’s civil law system. This section details the necessary steps for ensuring compliance and effectiveness.</w:t>
      </w:r>
    </w:p>
    <w:bookmarkStart w:id="22" w:name="language-and-documentation-protocols"/>
    <w:p>
      <w:pPr>
        <w:pStyle w:val="Heading3"/>
      </w:pPr>
      <w:r>
        <w:t xml:space="preserve">2.1 Language and Documentation Protocols</w:t>
      </w:r>
    </w:p>
    <w:p>
      <w:pPr>
        <w:pStyle w:val="FirstParagraph"/>
      </w:pPr>
      <w:r>
        <w:t xml:space="preserve">In</w:t>
      </w:r>
      <w:r>
        <w:t xml:space="preserve"> </w:t>
      </w:r>
      <w:r>
        <w:rPr>
          <w:bCs/>
          <w:b/>
        </w:rPr>
        <w:t xml:space="preserve">Japan Tokyo</w:t>
      </w:r>
      <w:r>
        <w:t xml:space="preserve">, all court filings must be conducted in Japanese. For a foreign-qualified</w:t>
      </w:r>
      <w:r>
        <w:t xml:space="preserve"> </w:t>
      </w:r>
      <w:r>
        <w:rPr>
          <w:bCs/>
          <w:b/>
        </w:rPr>
        <w:t xml:space="preserve">Lawyer</w:t>
      </w:r>
      <w:r>
        <w:t xml:space="preserve">, this necessitates a rigorous verification process of translation accuracy, as nuances in legal terminology can drastically alter case outcomes. The report establishes that precision in the Japanese language is not just an aesthetic choice but a critical safety mechanism for any legal practitioner operating within</w:t>
      </w:r>
      <w:r>
        <w:t xml:space="preserve"> </w:t>
      </w:r>
      <w:r>
        <w:rPr>
          <w:bCs/>
          <w:b/>
        </w:rPr>
        <w:t xml:space="preserve">Japan Tokyo</w:t>
      </w:r>
      <w:r>
        <w:t xml:space="preserve">.</w:t>
      </w:r>
    </w:p>
    <w:bookmarkEnd w:id="22"/>
    <w:bookmarkStart w:id="23" w:name="adherence-to-local-court-rules"/>
    <w:p>
      <w:pPr>
        <w:pStyle w:val="Heading3"/>
      </w:pPr>
      <w:r>
        <w:t xml:space="preserve">2.2 Adherence to Local Court Rules</w:t>
      </w:r>
    </w:p>
    <w:p>
      <w:pPr>
        <w:pStyle w:val="FirstParagraph"/>
      </w:pPr>
      <w:r>
        <w:t xml:space="preserve">The courts located in</w:t>
      </w:r>
      <w:r>
        <w:t xml:space="preserve"> </w:t>
      </w:r>
      <w:r>
        <w:rPr>
          <w:bCs/>
          <w:b/>
        </w:rPr>
        <w:t xml:space="preserve">Japan Tokyo</w:t>
      </w:r>
      <w:r>
        <w:t xml:space="preserve">, including the Tokyo District Court, adhere to strict scheduling and evidentiary rules. The methodology requires a detailed audit of case files to ensure that all submissions meet the specific formatting requirements of these institutions. This is akin to maintaining sterile conditions in a scientific laboratory; any contamination (or procedural irregularity) can compromise the integrity of the entire operation.</w:t>
      </w:r>
    </w:p>
    <w:bookmarkEnd w:id="23"/>
    <w:bookmarkEnd w:id="24"/>
    <w:bookmarkStart w:id="25" w:name="X89f30809877391ff0bd755f22b22b214b9894f4"/>
    <w:p>
      <w:pPr>
        <w:pStyle w:val="Heading2"/>
      </w:pPr>
      <w:r>
        <w:t xml:space="preserve">3. Observations: Ethical and Professional Standards</w:t>
      </w:r>
    </w:p>
    <w:p>
      <w:pPr>
        <w:pStyle w:val="FirstParagraph"/>
      </w:pPr>
      <w:r>
        <w:t xml:space="preserve">This section records observations regarding the ethical landscape facing a</w:t>
      </w:r>
      <w:r>
        <w:t xml:space="preserve"> </w:t>
      </w:r>
      <w:r>
        <w:rPr>
          <w:bCs/>
          <w:b/>
        </w:rPr>
        <w:t xml:space="preserve">Lawyer</w:t>
      </w:r>
      <w:r>
        <w:br/>
      </w:r>
      <w:r>
        <w:t xml:space="preserve">in</w:t>
      </w:r>
      <w:r>
        <w:t xml:space="preserve"> </w:t>
      </w:r>
      <w:r>
        <w:rPr>
          <w:bCs/>
          <w:b/>
        </w:rPr>
        <w:t xml:space="preserve">Japan Tokyo</w:t>
      </w:r>
      <w:r>
        <w:t xml:space="preserve">. The culture in this region places immense value on consensus, hierarchy, and preservation of social harmony (wa). Consequently, the approach of a</w:t>
      </w:r>
      <w:r>
        <w:t xml:space="preserve"> </w:t>
      </w:r>
      <w:r>
        <w:rPr>
          <w:bCs/>
          <w:b/>
        </w:rPr>
        <w:t xml:space="preserve">Lawyer must reflect these values to be effective. Aggressive litigation tactics that might succeed in other jurisdictions may be counterproductive or viewed unfavorably by judges and opposing counsel in</w:t>
      </w:r>
      <w:r>
        <w:rPr>
          <w:bCs/>
          <w:b/>
        </w:rPr>
        <w:t xml:space="preserve"> </w:t>
      </w:r>
      <w:r>
        <w:rPr>
          <w:bCs/>
          <w:b/>
          <w:bCs/>
          <w:b/>
        </w:rPr>
        <w:t xml:space="preserve">Japan Tokyo</w:t>
      </w:r>
      <w:r>
        <w:rPr>
          <w:bCs/>
          <w:b/>
        </w:rPr>
        <w:t xml:space="preserve">.</w:t>
      </w:r>
      <w:r>
        <w:rPr>
          <w:bCs/>
          <w:b/>
        </w:rPr>
        <w:t xml:space="preserve"> </w:t>
      </w:r>
      <w:r>
        <w:rPr>
          <w:bCs/>
          <w:b/>
        </w:rPr>
        <w:t xml:space="preserve">Key observations include:</w:t>
      </w:r>
    </w:p>
    <w:p>
      <w:pPr>
        <w:numPr>
          <w:ilvl w:val="0"/>
          <w:numId w:val="1001"/>
        </w:numPr>
        <w:pStyle w:val="Compact"/>
      </w:pPr>
      <w:r>
        <w:rPr>
          <w:bCs/>
          <w:b/>
        </w:rPr>
        <w:t xml:space="preserve">Aesthetics of the Law:</w:t>
      </w:r>
      <w:r>
        <w:t xml:space="preserve"> </w:t>
      </w:r>
      <w:r>
        <w:t xml:space="preserve">In</w:t>
      </w:r>
    </w:p>
    <w:p>
      <w:pPr>
        <w:numPr>
          <w:ilvl w:val="0"/>
          <w:numId w:val="1000"/>
        </w:numPr>
        <w:pStyle w:val="Compact"/>
      </w:pPr>
      <w:r>
        <w:t xml:space="preserve">Japan Tokyo, the presentation of a case is as important as its substantive content. A</w:t>
      </w:r>
    </w:p>
    <w:p>
      <w:pPr>
        <w:numPr>
          <w:ilvl w:val="0"/>
          <w:numId w:val="1000"/>
        </w:numPr>
        <w:pStyle w:val="Compact"/>
      </w:pPr>
      <w:r>
        <w:t xml:space="preserve">Lawyer must ensure that documents are physically pristine and logically flawless.</w:t>
      </w:r>
    </w:p>
    <w:p>
      <w:pPr>
        <w:numPr>
          <w:ilvl w:val="0"/>
          <w:numId w:val="1001"/>
        </w:numPr>
        <w:pStyle w:val="Compact"/>
      </w:pPr>
      <w:r>
        <w:rPr>
          <w:bCs/>
          <w:b/>
        </w:rPr>
        <w:t xml:space="preserve">Patient Interaction:</w:t>
      </w:r>
      <w:r>
        <w:t xml:space="preserve"> </w:t>
      </w:r>
      <w:r>
        <w:t xml:space="preserve">Clients in this region often prefer out-of-court settlements. The role of the</w:t>
      </w:r>
    </w:p>
    <w:p>
      <w:pPr>
        <w:numPr>
          <w:ilvl w:val="0"/>
          <w:numId w:val="1000"/>
        </w:numPr>
        <w:pStyle w:val="Compact"/>
      </w:pPr>
      <w:r>
        <w:t xml:space="preserve">Lawyer in</w:t>
      </w:r>
    </w:p>
    <w:p>
      <w:pPr>
        <w:numPr>
          <w:ilvl w:val="0"/>
          <w:numId w:val="1000"/>
        </w:numPr>
        <w:pStyle w:val="Compact"/>
      </w:pPr>
      <w:r>
        <w:t xml:space="preserve">Japan Tokyo is frequently that of a mediator rather than just an advocate, requiring a distinct skill set focused on negotiation.</w:t>
      </w:r>
    </w:p>
    <w:bookmarkEnd w:id="25"/>
    <w:bookmarkStart w:id="26" w:name="X2da713fcbbd4069db2ee4beb6d797b4b12aa918"/>
    <w:p>
      <w:pPr>
        <w:pStyle w:val="Heading2"/>
      </w:pPr>
      <w:r>
        <w:t xml:space="preserve">4. Data Analysis: Comparative Procedural Efficiency</w:t>
      </w:r>
    </w:p>
    <w:p>
      <w:pPr>
        <w:pStyle w:val="FirstParagraph"/>
      </w:pPr>
      <w:r>
        <w:t xml:space="preserve">By analyzing case duration and settlement rates for litigation involving foreign elements within</w:t>
      </w:r>
      <w:r>
        <w:t xml:space="preserve"> </w:t>
      </w:r>
      <w:r>
        <w:rPr>
          <w:bCs/>
          <w:b/>
        </w:rPr>
        <w:t xml:space="preserve">Japan Tokyo</w:t>
      </w:r>
      <w:r>
        <w:t xml:space="preserve">, we observe that efficiency is heavily dependent on the cultural fluency of the</w:t>
      </w:r>
      <w:r>
        <w:t xml:space="preserve"> </w:t>
      </w:r>
      <w:r>
        <w:rPr>
          <w:bCs/>
          <w:b/>
        </w:rPr>
        <w:t xml:space="preserve">Lawyer . Data indicates that when a</w:t>
      </w:r>
      <w:r>
        <w:rPr>
          <w:bCs/>
          <w:b/>
        </w:rPr>
        <w:t xml:space="preserve"> </w:t>
      </w:r>
      <w:r>
        <w:rPr>
          <w:bCs/>
          <w:b/>
          <w:bCs/>
          <w:b/>
        </w:rPr>
        <w:t xml:space="preserve">Lawyer demonstrates deep understanding of local customs, communication bottlenecks with judges and clerks in Tokyo are significantly reduced. Conversely, failures to adapt lead to procedural delays, highlighting the critical importance of cultural intelligence as a variable in legal success.</w:t>
      </w:r>
    </w:p>
    <w:bookmarkEnd w:id="26"/>
    <w:bookmarkStart w:id="27" w:name="conclusion-and-recommendations"/>
    <w:p>
      <w:pPr>
        <w:pStyle w:val="Heading2"/>
      </w:pPr>
      <w:r>
        <w:t xml:space="preserve">5. Conclusion and Recommendations</w:t>
      </w:r>
    </w:p>
    <w:p>
      <w:pPr>
        <w:pStyle w:val="FirstParagraph"/>
      </w:pPr>
      <w:r>
        <w:t xml:space="preserve">The investigation confirms that practicing law is not a static occupation but a dynamic process requiring constant calibration to local variables. For any</w:t>
      </w:r>
      <w:r>
        <w:t xml:space="preserve"> </w:t>
      </w:r>
      <w:r>
        <w:rPr>
          <w:bCs/>
          <w:b/>
        </w:rPr>
        <w:t xml:space="preserve">Lawyer seeking to establish credibility and efficacy in this sector, the following recommendations are issued:</w:t>
      </w:r>
    </w:p>
    <w:p>
      <w:pPr>
        <w:numPr>
          <w:ilvl w:val="0"/>
          <w:numId w:val="1002"/>
        </w:numPr>
        <w:pStyle w:val="Compact"/>
      </w:pPr>
      <w:r>
        <w:rPr>
          <w:bCs/>
          <w:b/>
        </w:rPr>
        <w:t xml:space="preserve">Rigorous Localization:</w:t>
      </w:r>
      <w:r>
        <w:t xml:space="preserve"> </w:t>
      </w:r>
      <w:r>
        <w:t xml:space="preserve">All legal strategies must be localized specifically for the nuances of</w:t>
      </w:r>
    </w:p>
    <w:p>
      <w:pPr>
        <w:numPr>
          <w:ilvl w:val="0"/>
          <w:numId w:val="1000"/>
        </w:numPr>
        <w:pStyle w:val="Compact"/>
      </w:pPr>
      <w:r>
        <w:t xml:space="preserve">Japan Tokyo.</w:t>
      </w:r>
    </w:p>
    <w:p>
      <w:pPr>
        <w:numPr>
          <w:ilvl w:val="0"/>
          <w:numId w:val="1002"/>
        </w:numPr>
        <w:pStyle w:val="Compact"/>
      </w:pPr>
      <w:r>
        <w:rPr>
          <w:bCs/>
          <w:b/>
        </w:rPr>
        <w:t xml:space="preserve">Cultural Immersion:</w:t>
      </w:r>
      <w:r>
        <w:t xml:space="preserve"> </w:t>
      </w:r>
      <w:r>
        <w:t xml:space="preserve">A</w:t>
      </w:r>
    </w:p>
    <w:p>
      <w:pPr>
        <w:numPr>
          <w:ilvl w:val="0"/>
          <w:numId w:val="1000"/>
        </w:numPr>
        <w:pStyle w:val="Compact"/>
      </w:pPr>
      <w:r>
        <w:t xml:space="preserve">Lawyer must actively engage with the professional networks and cultural norms of this region.</w:t>
      </w:r>
    </w:p>
    <w:p>
      <w:pPr>
        <w:numPr>
          <w:ilvl w:val="0"/>
          <w:numId w:val="1002"/>
        </w:numPr>
        <w:pStyle w:val="Compact"/>
      </w:pPr>
      <w:r>
        <w:t xml:space="preserve">Safety Protocols: Strict adherence to the ethical codes of the JFBA is mandatory to maintain licensure while operating as a</w:t>
      </w:r>
    </w:p>
    <w:p>
      <w:pPr>
        <w:numPr>
          <w:ilvl w:val="0"/>
          <w:numId w:val="1000"/>
        </w:numPr>
        <w:pStyle w:val="Compact"/>
      </w:pPr>
      <w:r>
        <w:t xml:space="preserve">Lawyer in</w:t>
      </w:r>
    </w:p>
    <w:p>
      <w:pPr>
        <w:numPr>
          <w:ilvl w:val="0"/>
          <w:numId w:val="1000"/>
        </w:numPr>
        <w:pStyle w:val="Compact"/>
      </w:pPr>
      <w:r>
        <w:t xml:space="preserve">Japan Tokyo.</w:t>
      </w:r>
    </w:p>
    <w:p>
      <w:pPr>
        <w:pStyle w:val="FirstParagraph"/>
      </w:pPr>
      <w:r>
        <w:t xml:space="preserve">Final Statement of Findings</w:t>
      </w:r>
    </w:p>
    <w:p>
      <w:pPr>
        <w:pStyle w:val="BodyText"/>
      </w:pPr>
      <w:r>
        <w:t xml:space="preserve">This Lab Report definitively outlines that being a competent professional in this field requires more than legal knowledge; it requires an empirical understanding of the specific environment. Only through strict adherence to these documented procedures can a</w:t>
      </w:r>
    </w:p>
    <w:p>
      <w:pPr>
        <w:pStyle w:val="BodyText"/>
      </w:pPr>
      <w:r>
        <w:t xml:space="preserve">Lawyer ensure successful outcomes while maintaining compliance with the rigorous standards of</w:t>
      </w:r>
    </w:p>
    <w:p>
      <w:pPr>
        <w:pStyle w:val="BodyText"/>
      </w:pPr>
      <w:r>
        <w:t xml:space="preserve">Japan Tokyo. This document serves as the foundational protocol for future operations in this jurisdiction.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for Lawyer Practice in Japan Tokyo</dc:title>
  <dc:creator/>
  <dc:language>en</dc:language>
  <cp:keywords/>
  <dcterms:created xsi:type="dcterms:W3CDTF">2026-07-29T21:09:29Z</dcterms:created>
  <dcterms:modified xsi:type="dcterms:W3CDTF">2026-07-29T21:09:29Z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