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6991d768632068ae64f7e19d4b969cdeb7bd9f"/>
    <w:p>
      <w:pPr>
        <w:pStyle w:val="Heading1"/>
      </w:pPr>
      <w:r>
        <w:t xml:space="preserve">Laboratory Report on Legal Counsel and Judicial Procedures in Kuwait City</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Kuwait City, State of Kuwait</w:t>
      </w:r>
      <w:r>
        <w:br/>
      </w:r>
      <w:r>
        <w:rPr>
          <w:bCs/>
          <w:b/>
        </w:rPr>
        <w:t xml:space="preserve">Focal Subject:</w:t>
      </w:r>
      <w:r>
        <w:t xml:space="preserve"> </w:t>
      </w:r>
      <w:r>
        <w:t xml:space="preserve">The Role and Functionality of the Lawyer</w:t>
      </w:r>
    </w:p>
    <w:bookmarkStart w:id="20" w:name="i.-introduction-and-scope-of-observation"/>
    <w:p>
      <w:pPr>
        <w:pStyle w:val="Heading2"/>
      </w:pPr>
      <w:r>
        <w:t xml:space="preserve">I. Introduction and Scope of Observation</w:t>
      </w:r>
    </w:p>
    <w:p>
      <w:pPr>
        <w:pStyle w:val="FirstParagraph"/>
      </w:pPr>
      <w:r>
        <w:t xml:space="preserve">This document serves as a comprehensive</w:t>
      </w:r>
      <w:r>
        <w:t xml:space="preserve"> </w:t>
      </w:r>
      <w:r>
        <w:rPr>
          <w:iCs/>
          <w:i/>
        </w:rPr>
        <w:t xml:space="preserve">Laboratory Report</w:t>
      </w:r>
      <w:r>
        <w:t xml:space="preserve">, structured to analyze the intricate legal frameworks, procedural norms, and professional dynamics inherent to the practice of law within Kuwait City. As the capital and largest city in Kuwait, Kuwait City functions not merely as an administrative hub but as the epicenter of judicial authority in the nation. It is within this specific geographic and political context that a</w:t>
      </w:r>
      <w:r>
        <w:t xml:space="preserve"> </w:t>
      </w:r>
      <w:r>
        <w:rPr>
          <w:iCs/>
          <w:i/>
        </w:rPr>
        <w:t xml:space="preserve">Lawyer</w:t>
      </w:r>
      <w:r>
        <w:t xml:space="preserve"> </w:t>
      </w:r>
      <w:r>
        <w:t xml:space="preserve">must navigate a complex system characterized by a blend of civil law traditions, Islamic Sharia principles, and customary local practices. The objective of this report is to dissect the operational mechanics, ethical responsibilities, and strategic necessities required for legal professionals operating in Kuwait City.</w:t>
      </w:r>
    </w:p>
    <w:p>
      <w:pPr>
        <w:pStyle w:val="BodyText"/>
      </w:pPr>
      <w:r>
        <w:t xml:space="preserve">The significance of this</w:t>
      </w:r>
      <w:r>
        <w:t xml:space="preserve"> </w:t>
      </w:r>
      <w:r>
        <w:rPr>
          <w:iCs/>
          <w:i/>
        </w:rPr>
        <w:t xml:space="preserve">Laboratory Report</w:t>
      </w:r>
      <w:r>
        <w:t xml:space="preserve"> </w:t>
      </w:r>
      <w:r>
        <w:t xml:space="preserve">stems from the unique nature of Kuwait’s legal ecosystem. Unlike common law jurisdictions where precedent plays a dominant role, Kuwait operates under a civil law system heavily influenced by Egyptian and French legal codes, alongside significant provisions derived from Sharia Law. This hybridization creates a distinct environment for every</w:t>
      </w:r>
      <w:r>
        <w:t xml:space="preserve"> </w:t>
      </w:r>
      <w:r>
        <w:rPr>
          <w:iCs/>
          <w:i/>
        </w:rPr>
        <w:t xml:space="preserve">Lawyer</w:t>
      </w:r>
      <w:r>
        <w:t xml:space="preserve"> </w:t>
      </w:r>
      <w:r>
        <w:t xml:space="preserve">licensed to practice in</w:t>
      </w:r>
      <w:r>
        <w:t xml:space="preserve"> </w:t>
      </w:r>
      <w:r>
        <w:rPr>
          <w:bCs/>
          <w:b/>
        </w:rPr>
        <w:t xml:space="preserve">Kuwait City</w:t>
      </w:r>
      <w:r>
        <w:t xml:space="preserve">. The following sections detail the structural analysis of this environment, providing insights into how legal counsel is rendered, how disputes are adjudicated, and what constitutes professional excellence within the capital.</w:t>
      </w:r>
    </w:p>
    <w:bookmarkEnd w:id="20"/>
    <w:bookmarkStart w:id="21" w:name="X388eb57c0213bfef9a0b4bd78f3a342fc9ef08e"/>
    <w:p>
      <w:pPr>
        <w:pStyle w:val="Heading2"/>
      </w:pPr>
      <w:r>
        <w:t xml:space="preserve">II. Jurisdictional Framework and Court Hierarchy in Kuwait City</w:t>
      </w:r>
    </w:p>
    <w:p>
      <w:pPr>
        <w:pStyle w:val="FirstParagraph"/>
      </w:pPr>
      <w:r>
        <w:t xml:space="preserve">To understand the role of a</w:t>
      </w:r>
      <w:r>
        <w:t xml:space="preserve"> </w:t>
      </w:r>
      <w:r>
        <w:rPr>
          <w:iCs/>
          <w:i/>
        </w:rPr>
        <w:t xml:space="preserve">Lawyer</w:t>
      </w:r>
      <w:r>
        <w:t xml:space="preserve">, one must first comprehend the judicial architecture present in</w:t>
      </w:r>
      <w:r>
        <w:t xml:space="preserve"> </w:t>
      </w:r>
      <w:r>
        <w:rPr>
          <w:bCs/>
          <w:b/>
        </w:rPr>
        <w:t xml:space="preserve">Kuwait City</w:t>
      </w:r>
      <w:r>
        <w:t xml:space="preserve">. The court system is hierarchical, beginning with the Courts of First Instance, moving to Courts of Appeal, and culminating at the Court of Cassation. Each level serves a distinct function that directly impacts legal strategy.</w:t>
      </w:r>
    </w:p>
    <w:p>
      <w:pPr>
        <w:pStyle w:val="BodyText"/>
      </w:pPr>
      <w:r>
        <w:t xml:space="preserve">In</w:t>
      </w:r>
      <w:r>
        <w:t xml:space="preserve"> </w:t>
      </w:r>
      <w:r>
        <w:rPr>
          <w:bCs/>
          <w:b/>
        </w:rPr>
        <w:t xml:space="preserve">Kuwait City</w:t>
      </w:r>
      <w:r>
        <w:t xml:space="preserve">, the primary venue for most civil and criminal litigation is located in central administrative districts known as Ardiya and Salmiya. A</w:t>
      </w:r>
      <w:r>
        <w:t xml:space="preserve"> </w:t>
      </w:r>
      <w:r>
        <w:rPr>
          <w:iCs/>
          <w:i/>
        </w:rPr>
        <w:t xml:space="preserve">Lawyer</w:t>
      </w:r>
      <w:r>
        <w:t xml:space="preserve"> </w:t>
      </w:r>
      <w:r>
        <w:t xml:space="preserve">must possess intimate knowledge of these physical locations, not only for logistical efficiency but also due to the localized procedural nuances that may vary slightly between different judicial circles within the city. The Courts of First Instance are where facts are established, evidence is presented, and initial judgments are rendered. It is here that a</w:t>
      </w:r>
      <w:r>
        <w:t xml:space="preserve"> </w:t>
      </w:r>
      <w:r>
        <w:rPr>
          <w:iCs/>
          <w:i/>
        </w:rPr>
        <w:t xml:space="preserve">Lawyer</w:t>
      </w:r>
      <w:r>
        <w:t xml:space="preserve">’s preparatory work is most critical.</w:t>
      </w:r>
    </w:p>
    <w:p>
      <w:pPr>
        <w:pStyle w:val="BodyText"/>
      </w:pPr>
      <w:r>
        <w:t xml:space="preserve">The Court of Appeal in Kuwait City reviews cases for errors in law or fact committed during the first instance. This stage requires a</w:t>
      </w:r>
      <w:r>
        <w:t xml:space="preserve"> </w:t>
      </w:r>
      <w:r>
        <w:rPr>
          <w:iCs/>
          <w:i/>
        </w:rPr>
        <w:t xml:space="preserve">Lawyer</w:t>
      </w:r>
      <w:r>
        <w:t xml:space="preserve"> </w:t>
      </w:r>
      <w:r>
        <w:t xml:space="preserve">to possess advanced analytical skills, capable of identifying procedural missteps or incorrect interpretations of statutory law. Finally, the Court of Cassation serves as the supreme court, ensuring that lower courts have correctly applied national laws and regulations. For any serious legal matter in Kuwait City, understanding this hierarchy is paramount for a</w:t>
      </w:r>
      <w:r>
        <w:t xml:space="preserve"> </w:t>
      </w:r>
      <w:r>
        <w:rPr>
          <w:iCs/>
          <w:i/>
        </w:rPr>
        <w:t xml:space="preserve">Lawyer</w:t>
      </w:r>
      <w:r>
        <w:t xml:space="preserve"> </w:t>
      </w:r>
      <w:r>
        <w:t xml:space="preserve">to formulate an effective appellate strategy.</w:t>
      </w:r>
    </w:p>
    <w:bookmarkEnd w:id="21"/>
    <w:bookmarkStart w:id="22" w:name="Xb379474b02e5316b713970585a8db6ee3d4d4f3"/>
    <w:p>
      <w:pPr>
        <w:pStyle w:val="Heading2"/>
      </w:pPr>
      <w:r>
        <w:t xml:space="preserve">III. The Role and Responsibilities of the Lawyer</w:t>
      </w:r>
    </w:p>
    <w:p>
      <w:pPr>
        <w:pStyle w:val="FirstParagraph"/>
      </w:pPr>
      <w:r>
        <w:t xml:space="preserve">The core subject of this</w:t>
      </w:r>
      <w:r>
        <w:t xml:space="preserve"> </w:t>
      </w:r>
      <w:r>
        <w:rPr>
          <w:iCs/>
          <w:i/>
        </w:rPr>
        <w:t xml:space="preserve">Laboratory Report</w:t>
      </w:r>
      <w:r>
        <w:t xml:space="preserve">, the</w:t>
      </w:r>
      <w:r>
        <w:t xml:space="preserve"> </w:t>
      </w:r>
      <w:r>
        <w:rPr>
          <w:iCs/>
          <w:i/>
        </w:rPr>
        <w:t xml:space="preserve">Lawyer</w:t>
      </w:r>
      <w:r>
        <w:t xml:space="preserve">, operates under strict regulatory oversight by the Kuwait Bar Association, which is headquartered in Kuwait City. The duties of a</w:t>
      </w:r>
    </w:p>
    <w:p>
      <w:pPr>
        <w:pStyle w:val="BodyText"/>
      </w:pPr>
      <w:r>
        <w:t xml:space="preserve">Lawyer extend beyond mere representation; they encompass ethical advocacy, client counseling, and the protection of constitutional rights.</w:t>
      </w:r>
    </w:p>
    <w:p>
      <w:pPr>
        <w:pStyle w:val="BodyText"/>
      </w:pPr>
      <w:r>
        <w:rPr>
          <w:bCs/>
          <w:b/>
        </w:rPr>
        <w:t xml:space="preserve">A. Client Representation and Advocacy</w:t>
      </w:r>
      <w:r>
        <w:br/>
      </w:r>
      <w:r>
        <w:t xml:space="preserve">A</w:t>
      </w:r>
      <w:r>
        <w:t xml:space="preserve"> </w:t>
      </w:r>
      <w:r>
        <w:rPr>
          <w:iCs/>
          <w:i/>
        </w:rPr>
        <w:t xml:space="preserve">Lawyer</w:t>
      </w:r>
      <w:r>
        <w:t xml:space="preserve"> </w:t>
      </w:r>
      <w:r>
        <w:t xml:space="preserve">in Kuwait City acts as the primary voice for clients before judges who are state-appointed civil servants. The relationship between a</w:t>
      </w:r>
      <w:r>
        <w:t xml:space="preserve"> </w:t>
      </w:r>
      <w:r>
        <w:rPr>
          <w:iCs/>
          <w:i/>
        </w:rPr>
        <w:t xml:space="preserve">Lawyer</w:t>
      </w:r>
      <w:r>
        <w:t xml:space="preserve">, the court, and the client is tripartite and delicate. In criminal matters, a</w:t>
      </w:r>
    </w:p>
    <w:p>
      <w:pPr>
        <w:pStyle w:val="BodyText"/>
      </w:pPr>
      <w:r>
        <w:t xml:space="preserve">Lawyer</w:t>
      </w:r>
      <w:r>
        <w:br/>
      </w:r>
      <w:r>
        <w:t xml:space="preserve">B</w:t>
      </w:r>
      <w:r>
        <w:br/>
      </w:r>
      <w:r>
        <w:t xml:space="preserve">B</w:t>
      </w:r>
      <w:r>
        <w:br/>
      </w:r>
      <w:r>
        <w:t xml:space="preserve">A lawyer in Kuwait City acts as an officer of the court, obligated to uphold justice while vigorously defending their client’s interests. This dual obligation requires a nuanced approach to advocacy, ensuring that procedural fairness is maintained while challenging evidence or legal interpretations where appropriate.</w:t>
      </w:r>
    </w:p>
    <w:p>
      <w:pPr>
        <w:pStyle w:val="BodyText"/>
      </w:pPr>
      <w:r>
        <w:rPr>
          <w:bCs/>
          <w:b/>
        </w:rPr>
        <w:t xml:space="preserve">B. Contractual and Commercial Advisory</w:t>
      </w:r>
      <w:r>
        <w:br/>
      </w:r>
      <w:r>
        <w:t xml:space="preserve">Given Kuwait City’s status as a financial hub in the Gulf region, commercial law is a significant area of practice. A</w:t>
      </w:r>
      <w:r>
        <w:t xml:space="preserve"> </w:t>
      </w:r>
      <w:r>
        <w:rPr>
          <w:iCs/>
          <w:i/>
        </w:rPr>
        <w:t xml:space="preserve">Lawyer</w:t>
      </w:r>
    </w:p>
    <w:bookmarkEnd w:id="22"/>
    <w:bookmarkStart w:id="23" w:name="X2ab3aaf04bebb5ff886736d925c140e1f2b2821"/>
    <w:p>
      <w:pPr>
        <w:pStyle w:val="Heading2"/>
      </w:pPr>
      <w:r>
        <w:t xml:space="preserve">The Language of Law and Cultural Context in Kuwait City</w:t>
      </w:r>
    </w:p>
    <w:p>
      <w:pPr>
        <w:pStyle w:val="FirstParagraph"/>
      </w:pPr>
      <w:r>
        <w:t xml:space="preserve">A critical variable in this</w:t>
      </w:r>
      <w:r>
        <w:t xml:space="preserve"> </w:t>
      </w:r>
      <w:r>
        <w:rPr>
          <w:iCs/>
          <w:i/>
        </w:rPr>
        <w:t xml:space="preserve">Laboratory Report</w:t>
      </w:r>
      <w:r>
        <w:br/>
      </w:r>
      <w:r>
        <w:t xml:space="preserve">The legal profession in Kuwait City demands proficiency not only in Arabic but also an understanding of cultural etiquette. Formality, respect for hierarchy, and adherence to traditional customs are often as influential as the law itself. A</w:t>
      </w:r>
      <w:r>
        <w:t xml:space="preserve"> </w:t>
      </w:r>
      <w:r>
        <w:rPr>
          <w:iCs/>
          <w:i/>
        </w:rPr>
        <w:t xml:space="preserve">Lawyer</w:t>
      </w:r>
      <w:r>
        <w:t xml:space="preserve"> </w:t>
      </w:r>
      <w:r>
        <w:t xml:space="preserve">who fails to appreciate these cultural dimensions may find their advocacy hindered by a lack of rapport with judicial officers or opposing counsel.</w:t>
      </w:r>
    </w:p>
    <w:bookmarkEnd w:id="23"/>
    <w:bookmarkStart w:id="24" w:name="v.-challenges-and-strategic-adaptations"/>
    <w:p>
      <w:pPr>
        <w:pStyle w:val="Heading2"/>
      </w:pPr>
      <w:r>
        <w:t xml:space="preserve">V. Challenges and Strategic Adaptations</w:t>
      </w:r>
    </w:p>
    <w:p>
      <w:pPr>
        <w:pStyle w:val="FirstParagraph"/>
      </w:pPr>
      <w:r>
        <w:t xml:space="preserve">The practice of law in Kuwait City presents unique challenges, including bureaucratic delays, complex regulatory changes, and the evolving nature of international business laws. A modern</w:t>
      </w:r>
      <w:r>
        <w:t xml:space="preserve"> </w:t>
      </w:r>
      <w:r>
        <w:rPr>
          <w:iCs/>
          <w:i/>
        </w:rPr>
        <w:t xml:space="preserve">Lawyer</w:t>
      </w:r>
      <w:r>
        <w:t xml:space="preserve"> </w:t>
      </w:r>
      <w:r>
        <w:t xml:space="preserve">must be adaptable.</w:t>
      </w:r>
    </w:p>
    <w:p>
      <w:pPr>
        <w:pStyle w:val="BodyText"/>
      </w:pPr>
      <w:r>
        <w:rPr>
          <w:bCs/>
          <w:b/>
        </w:rPr>
        <w:t xml:space="preserve">A. Navigating Bureaucracy</w:t>
      </w:r>
      <w:r>
        <w:br/>
      </w:r>
      <w:r>
        <w:t xml:space="preserve">Kuwait’s legal system can be characterized by extensive administrative procedures. A</w:t>
      </w:r>
      <w:r>
        <w:t xml:space="preserve"> </w:t>
      </w:r>
      <w:r>
        <w:rPr>
          <w:iCs/>
          <w:i/>
        </w:rPr>
        <w:t xml:space="preserve">Lawyer</w:t>
      </w:r>
    </w:p>
    <w:bookmarkEnd w:id="24"/>
    <w:bookmarkStart w:id="25" w:name="X7b597580d2b2745abe006399e22ca390e91f407"/>
    <w:p>
      <w:pPr>
        <w:pStyle w:val="Heading2"/>
      </w:pPr>
      <w:r>
        <w:t xml:space="preserve">VII Conclusion: Synthesis of Legal Practice in the Capital</w:t>
      </w:r>
    </w:p>
    <w:p>
      <w:pPr>
        <w:pStyle w:val="FirstParagraph"/>
      </w:pPr>
      <w:r>
        <w:t xml:space="preserve">In conclusion, this</w:t>
      </w:r>
      <w:r>
        <w:t xml:space="preserve"> </w:t>
      </w:r>
      <w:r>
        <w:rPr>
          <w:iCs/>
          <w:i/>
        </w:rPr>
        <w:t xml:space="preserve">Laboratory Report</w:t>
      </w:r>
      <w:r>
        <w:br/>
      </w:r>
      <w:r>
        <w:t xml:space="preserve">The city of Kuwait City serves as the stage where these legal dramas unfold, demanding a high degree of technical expertise, cultural intelligence, and ethical fortitude from every participating</w:t>
      </w:r>
      <w:r>
        <w:t xml:space="preserve"> </w:t>
      </w:r>
      <w:r>
        <w:rPr>
          <w:iCs/>
          <w:i/>
        </w:rPr>
        <w:t xml:space="preserve">Lawyer</w:t>
      </w:r>
      <w:r>
        <w:t xml:space="preserve">. The integration of traditional values with modern commercial needs creates a dynamic environment that requires continuous learning and adaptation.</w:t>
      </w:r>
    </w:p>
    <w:p>
      <w:pPr>
        <w:pStyle w:val="BodyText"/>
      </w:pPr>
      <w:r>
        <w:t xml:space="preserve">As Kuwait City continues to develop its economic landscape and legal infrastructure, the role of the</w:t>
      </w:r>
      <w:r>
        <w:t xml:space="preserve"> </w:t>
      </w:r>
      <w:r>
        <w:rPr>
          <w:iCs/>
          <w:i/>
        </w:rPr>
        <w:t xml:space="preserve">Lawyer</w:t>
      </w:r>
    </w:p>
    <w:bookmarkEnd w:id="25"/>
    <w:bookmarkStart w:id="26" w:name="viii.-references-and-methodology"/>
    <w:p>
      <w:pPr>
        <w:pStyle w:val="Heading2"/>
      </w:pPr>
      <w:r>
        <w:t xml:space="preserve">VIII. References and Methodology</w:t>
      </w:r>
    </w:p>
    <w:p>
      <w:pPr>
        <w:pStyle w:val="FirstParagraph"/>
      </w:pPr>
      <w:r>
        <w:t xml:space="preserve">This report is based on an observational analysis of public legal records, statutory reviews of Kuwait’s Law No. 71 of 1973 (regulating the practice law), and procedural guidelines set forth by the Ministry of Justice in</w:t>
      </w:r>
      <w:r>
        <w:t xml:space="preserve"> </w:t>
      </w:r>
      <w:r>
        <w:rPr>
          <w:bCs/>
          <w:b/>
        </w:rPr>
        <w:t xml:space="preserve">Kuwait City</w:t>
      </w:r>
      <w:r>
        <w:t xml:space="preserve">. The terminology used herein strictly adheres to the professional standards expected within this jurisdiction.</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2026-07-29T18:20:17Z</dcterms:created>
  <dcterms:modified xsi:type="dcterms:W3CDTF">2026-07-29T18:20:17Z</dcterms:modified>
</cp:coreProperties>
</file>

<file path=docProps/custom.xml><?xml version="1.0" encoding="utf-8"?>
<Properties xmlns="http://schemas.openxmlformats.org/officeDocument/2006/custom-properties" xmlns:vt="http://schemas.openxmlformats.org/officeDocument/2006/docPropsVTypes"/>
</file>