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a158003cbeb137220913215e3eab12f45a5362e"/>
    <w:p>
      <w:pPr>
        <w:pStyle w:val="Heading1"/>
      </w:pPr>
      <w:r>
        <w:t xml:space="preserve">Laboratory Report on Legal Practitioner Efficiency and Regulatory Compliance</w:t>
      </w:r>
      <w:r>
        <w:br/>
      </w:r>
      <w:r>
        <w:t xml:space="preserve">Contextual Analysis of the New Zealand Auckland Jurisdiction</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 </w:t>
      </w:r>
      <w:r>
        <w:t xml:space="preserve">Senior Legal Analyst</w:t>
      </w:r>
      <w:r>
        <w:br/>
      </w:r>
      <w:r>
        <w:rPr>
          <w:bCs/>
          <w:b/>
        </w:rPr>
        <w:t xml:space="preserve">Jurisdiction Focus:</w:t>
      </w:r>
      <w:r>
        <w:t xml:space="preserve">New Zealand Auckland</w:t>
      </w:r>
      <w:r>
        <w:br/>
      </w:r>
    </w:p>
    <w:p>
      <w:pPr>
        <w:pStyle w:val="BodyText"/>
      </w:pPr>
      <w:r>
        <w:t xml:space="preserve">Subject: Comprehensive Evaluation of the Lawyer Professional Standard in Urban Legal Markets</w:t>
      </w:r>
    </w:p>
    <w:bookmarkStart w:id="20" w:name="abstract"/>
    <w:p>
      <w:pPr>
        <w:pStyle w:val="Heading2"/>
      </w:pPr>
      <w:r>
        <w:t xml:space="preserve">1. Abstract</w:t>
      </w:r>
    </w:p>
    <w:p>
      <w:pPr>
        <w:pStyle w:val="FirstParagraph"/>
      </w:pPr>
      <w:r>
        <w:t xml:space="preserve">This laboratory report serves as a critical examination of the operational standards, ethical obligations, and procedural efficiency required of a qualified</w:t>
      </w:r>
      <w:r>
        <w:t xml:space="preserve"> </w:t>
      </w:r>
      <w:r>
        <w:rPr>
          <w:bCs/>
          <w:b/>
        </w:rPr>
        <w:t xml:space="preserve">Lawyer</w:t>
      </w:r>
      <w:r>
        <w:t xml:space="preserve"> </w:t>
      </w:r>
      <w:r>
        <w:t xml:space="preserve">operating within the specific jurisdictional framework of New Zealand Auckland. While traditional "lab reports" are associated with scientific experimentation, this document adapts that format to analyze legal practice through empirical observation and regulatory assessment. The objective is to define the precise parameters under which a legal practitioner must operate to ensure justice, compliance with the Legal Services Act 2007, and effective advocacy within Auckland’s diverse urban landscape. This report establishes that the role of a</w:t>
      </w:r>
      <w:r>
        <w:t xml:space="preserve"> </w:t>
      </w:r>
      <w:r>
        <w:rPr>
          <w:bCs/>
          <w:b/>
        </w:rPr>
        <w:t xml:space="preserve">Lawyer</w:t>
      </w:r>
      <w:r>
        <w:t xml:space="preserve"> </w:t>
      </w:r>
      <w:r>
        <w:t xml:space="preserve">in New Zealand Auckland is not merely one of representation but of holistic dispute resolution, cultural integration regarding Te Tiriti o Waitangi obligations, and strict adherence to court procedures established by the High Court and District Court sitting in Auckland.</w:t>
      </w:r>
    </w:p>
    <w:bookmarkEnd w:id="20"/>
    <w:bookmarkStart w:id="21" w:name="introduction"/>
    <w:p>
      <w:pPr>
        <w:pStyle w:val="Heading2"/>
      </w:pPr>
      <w:r>
        <w:t xml:space="preserve">2. Introduction and Scope</w:t>
      </w:r>
    </w:p>
    <w:p>
      <w:pPr>
        <w:pStyle w:val="FirstParagraph"/>
      </w:pPr>
      <w:r>
        <w:t xml:space="preserve">The purpose of this analysis is to deconstruct the multifaceted role of a</w:t>
      </w:r>
      <w:r>
        <w:t xml:space="preserve"> </w:t>
      </w:r>
      <w:r>
        <w:rPr>
          <w:bCs/>
          <w:b/>
        </w:rPr>
        <w:t xml:space="preserve">Lawyer</w:t>
      </w:r>
      <w:r>
        <w:t xml:space="preserve"> </w:t>
      </w:r>
      <w:r>
        <w:t xml:space="preserve">in New Zealand Auckland. As the largest city in New Zealand, Auckland presents a unique legal environment characterized by high population density, complex commercial transactions, and significant indigenous engagement. The term "New Zealand Auckland" defines not just a geographic location but a distinct legal ecosystem where local court rules interact with national statutes.</w:t>
      </w:r>
    </w:p>
    <w:p>
      <w:pPr>
        <w:pStyle w:val="BodyText"/>
      </w:pPr>
      <w:r>
        <w:t xml:space="preserve">In this report, the "Lawyer" is treated as the primary variable of investigation. We examine how variables such as caseload, ethical compliance, and cultural competency impact the output quality of legal services. The scope includes civil litigation, criminal defense, conveyancing (property law), and family law matters prevalent in Auckland residential zones. By treating these elements with the rigor of a laboratory experiment, we aim to isolate best practices for maintaining professional integrity and client satisfaction.</w:t>
      </w:r>
    </w:p>
    <w:bookmarkEnd w:id="21"/>
    <w:bookmarkStart w:id="22" w:name="methodology"/>
    <w:p>
      <w:pPr>
        <w:pStyle w:val="Heading2"/>
      </w:pPr>
      <w:r>
        <w:t xml:space="preserve">3. Methodological Framework</w:t>
      </w:r>
    </w:p>
    <w:p>
      <w:pPr>
        <w:pStyle w:val="FirstParagraph"/>
      </w:pPr>
      <w:r>
        <w:t xml:space="preserve">To evaluate the efficacy of a</w:t>
      </w:r>
      <w:r>
        <w:t xml:space="preserve"> </w:t>
      </w:r>
      <w:r>
        <w:rPr>
          <w:bCs/>
          <w:b/>
        </w:rPr>
        <w:t xml:space="preserve">Lawyer</w:t>
      </w:r>
      <w:r>
        <w:t xml:space="preserve"> </w:t>
      </w:r>
      <w:r>
        <w:t xml:space="preserve">in New Zealand Auckland, this report utilizes a mixed-method approach derived from legal observation and statutory interpretation. The methodology is divided into three primary phases:</w:t>
      </w:r>
    </w:p>
    <w:p>
      <w:pPr>
        <w:numPr>
          <w:ilvl w:val="0"/>
          <w:numId w:val="1001"/>
        </w:numPr>
        <w:pStyle w:val="Compact"/>
      </w:pPr>
      <w:r>
        <w:rPr>
          <w:bCs/>
          <w:b/>
        </w:rPr>
        <w:t xml:space="preserve">Deductive Reasoning:</w:t>
      </w:r>
      <w:r>
        <w:t xml:space="preserve"> </w:t>
      </w:r>
      <w:r>
        <w:t xml:space="preserve">Applying the overarching principles of the Law Society of New Zealand and the Code of Conduct for Lawyers to specific case scenarios common in Auckland.</w:t>
      </w:r>
    </w:p>
    <w:p>
      <w:pPr>
        <w:numPr>
          <w:ilvl w:val="0"/>
          <w:numId w:val="1001"/>
        </w:numPr>
        <w:pStyle w:val="Compact"/>
      </w:pPr>
      <w:r>
        <w:rPr>
          <w:bCs/>
          <w:b/>
        </w:rPr>
        <w:t xml:space="preserve">Ethical Stress Testing:</w:t>
      </w:r>
      <w:r>
        <w:t xml:space="preserve"> </w:t>
      </w:r>
      <w:r>
        <w:t xml:space="preserve">Analyzing potential conflicts between commercial interests and professional duties, specifically within Auckland’s competitive legal market.</w:t>
      </w:r>
    </w:p>
    <w:p>
      <w:pPr>
        <w:numPr>
          <w:ilvl w:val="0"/>
          <w:numId w:val="1001"/>
        </w:numPr>
        <w:pStyle w:val="Compact"/>
      </w:pPr>
      <w:r>
        <w:rPr>
          <w:bCs/>
          <w:b/>
        </w:rPr>
        <w:t xml:space="preserve">Cultural Competency Audit:</w:t>
      </w:r>
      <w:r>
        <w:t xml:space="preserve"> </w:t>
      </w:r>
      <w:r>
        <w:t xml:space="preserve">Assessing the Lawyer’s ability to incorporate Te Ao Māori perspectives and Treaty of Waitangi principles into standard legal practice, a mandatory expectation in New Zealand courts.</w:t>
      </w:r>
    </w:p>
    <w:bookmarkEnd w:id="22"/>
    <w:bookmarkStart w:id="26" w:name="findings"/>
    <w:p>
      <w:pPr>
        <w:pStyle w:val="Heading2"/>
      </w:pPr>
      <w:r>
        <w:t xml:space="preserve">4. Observations and Data Analysis</w:t>
      </w:r>
    </w:p>
    <w:bookmarkStart w:id="23" w:name="X7268898d0d5a004725384d5a5e215f6da568213"/>
    <w:p>
      <w:pPr>
        <w:pStyle w:val="Heading3"/>
      </w:pPr>
      <w:r>
        <w:t xml:space="preserve">4.1 Regulatory Compliance and the Lawyer’s Duty</w:t>
      </w:r>
    </w:p>
    <w:p>
      <w:pPr>
        <w:pStyle w:val="FirstParagraph"/>
      </w:pPr>
      <w:r>
        <w:t xml:space="preserve">The primary finding of this report is that a</w:t>
      </w:r>
      <w:r>
        <w:t xml:space="preserve"> </w:t>
      </w:r>
      <w:r>
        <w:rPr>
          <w:bCs/>
          <w:b/>
        </w:rPr>
        <w:t xml:space="preserve">Lawyer</w:t>
      </w:r>
      <w:r>
        <w:t xml:space="preserve"> </w:t>
      </w:r>
      <w:r>
        <w:t xml:space="preserve">in New Zealand Auckland must exhibit absolute adherence to the Legal Services Act 2007. Unlike jurisdictions with looser regulatory frameworks, New Zealand imposes strict fiduciary duties. In the context of Auckland, where commercial real estate and tech startups drive much of the legal demand, lawyers face frequent pressure regarding trust account management and conflict checks. Our analysis indicates that failure in these areas results in immediate disbarment risks by the Disciplinary Proceedings Committee.</w:t>
      </w:r>
    </w:p>
    <w:bookmarkEnd w:id="23"/>
    <w:bookmarkStart w:id="24" w:name="procedural-efficiency-in-auckland-courts"/>
    <w:p>
      <w:pPr>
        <w:pStyle w:val="Heading3"/>
      </w:pPr>
      <w:r>
        <w:t xml:space="preserve">4.2 Procedural Efficiency in Auckland Courts</w:t>
      </w:r>
    </w:p>
    <w:p>
      <w:pPr>
        <w:pStyle w:val="FirstParagraph"/>
      </w:pPr>
      <w:r>
        <w:t xml:space="preserve">Auckland handles a disproportionately high volume of New Zealand’s legal cases. The High Court in Auckland and the various District Court locations (including North Shore, Manukau, and Central) require lawyers to master specific procedural nuances. The data suggests that effective lawyers utilize digital case management systems integrated with the Ministry of Justice’s electronic filing services. A</w:t>
      </w:r>
      <w:r>
        <w:t xml:space="preserve"> </w:t>
      </w:r>
      <w:r>
        <w:rPr>
          <w:bCs/>
          <w:b/>
        </w:rPr>
        <w:t xml:space="preserve">Lawyer</w:t>
      </w:r>
      <w:r>
        <w:t xml:space="preserve"> </w:t>
      </w:r>
      <w:r>
        <w:t xml:space="preserve">who fails to adapt to these technological standards in New Zealand Auckland suffers from procedural delays that directly harm client outcomes.</w:t>
      </w:r>
    </w:p>
    <w:bookmarkEnd w:id="24"/>
    <w:bookmarkStart w:id="25" w:name="X4611a83021b6ea9f7ad9f1d68db9b3900abb2ad"/>
    <w:p>
      <w:pPr>
        <w:pStyle w:val="Heading3"/>
      </w:pPr>
      <w:r>
        <w:t xml:space="preserve">4.3 Cultural Competency and Te Tiriti o Waitangi</w:t>
      </w:r>
    </w:p>
    <w:p>
      <w:pPr>
        <w:pStyle w:val="FirstParagraph"/>
      </w:pPr>
      <w:r>
        <w:t xml:space="preserve">In New Zealand, the concept of a competent Lawyer is intrinsically linked to cultural awareness. In Auckland, a city with significant Māori and Pasifika populations, a Lawyer must understand concepts such as</w:t>
      </w:r>
      <w:r>
        <w:t xml:space="preserve"> </w:t>
      </w:r>
      <w:r>
        <w:rPr>
          <w:iCs/>
          <w:i/>
        </w:rPr>
        <w:t xml:space="preserve">Mana</w:t>
      </w:r>
      <w:r>
        <w:t xml:space="preserve"> </w:t>
      </w:r>
      <w:r>
        <w:t xml:space="preserve">(authority/prestige) and</w:t>
      </w:r>
      <w:r>
        <w:t xml:space="preserve"> </w:t>
      </w:r>
      <w:r>
        <w:rPr>
          <w:iCs/>
          <w:i/>
        </w:rPr>
        <w:t xml:space="preserve">Kaitiakitanga</w:t>
      </w:r>
      <w:r>
        <w:t xml:space="preserve"> </w:t>
      </w:r>
      <w:r>
        <w:t xml:space="preserve">(guardianship). This report identifies that successful legal outcomes in family law and resource consent hearings often depend on the Lawyer’s ability to facilitate communication that respects these cultural frameworks. Ignorance of these aspects is considered a professional deficit in the current Auckland legal climate.</w:t>
      </w:r>
    </w:p>
    <w:bookmarkEnd w:id="25"/>
    <w:bookmarkEnd w:id="26"/>
    <w:bookmarkStart w:id="27" w:name="discussion"/>
    <w:p>
      <w:pPr>
        <w:pStyle w:val="Heading2"/>
      </w:pPr>
      <w:r>
        <w:t xml:space="preserve">5. Discussion</w:t>
      </w:r>
    </w:p>
    <w:p>
      <w:pPr>
        <w:pStyle w:val="FirstParagraph"/>
      </w:pPr>
      <w:r>
        <w:t xml:space="preserve">The intersection of traditional common law practices and modern societal demands creates a complex environment for every</w:t>
      </w:r>
      <w:r>
        <w:t xml:space="preserve"> </w:t>
      </w:r>
      <w:r>
        <w:rPr>
          <w:bCs/>
          <w:b/>
        </w:rPr>
        <w:t xml:space="preserve">Lawyer</w:t>
      </w:r>
      <w:r>
        <w:t xml:space="preserve"> </w:t>
      </w:r>
      <w:r>
        <w:t xml:space="preserve">operating in New Zealand Auckland. The findings indicate that the "ideal" lawyer profile has shifted from a purely adversarial advocate to a mediator and cultural interpreter.</w:t>
      </w:r>
    </w:p>
    <w:p>
      <w:pPr>
        <w:pStyle w:val="BodyText"/>
      </w:pPr>
      <w:r>
        <w:t xml:space="preserve">Furthermore, the geographic spread of Auckland means that logistical challenges are significant. A Lawyer must navigate travel between North Shore, East Auckland, and Central City effectively. This logistical variable impacts billing structures and client accessibility. Reports suggest that firms failing to provide flexible access points in various Auckland suburbs lose market share.</w:t>
      </w:r>
    </w:p>
    <w:p>
      <w:pPr>
        <w:pStyle w:val="BodyText"/>
      </w:pPr>
      <w:r>
        <w:t xml:space="preserve">Additionally, the concept of "access to justice" remains a critical metric. In New Zealand Auckland, legal aid plays a substantial role in criminal and family courts. Lawyers involved in these sectors must balance government funding constraints with the ethical imperative to provide vigorous defense or representation. This tension is unique to the public funding model utilized in New Zealand.</w:t>
      </w:r>
    </w:p>
    <w:bookmarkEnd w:id="27"/>
    <w:bookmarkStart w:id="28" w:name="conclusion"/>
    <w:p>
      <w:pPr>
        <w:pStyle w:val="Heading2"/>
      </w:pPr>
      <w:r>
        <w:t xml:space="preserve">6. Conclusion</w:t>
      </w:r>
    </w:p>
    <w:p>
      <w:pPr>
        <w:pStyle w:val="FirstParagraph"/>
      </w:pPr>
      <w:r>
        <w:t xml:space="preserve">This laboratory report concludes that the role of a</w:t>
      </w:r>
      <w:r>
        <w:t xml:space="preserve"> </w:t>
      </w:r>
      <w:r>
        <w:rPr>
          <w:bCs/>
          <w:b/>
        </w:rPr>
        <w:t xml:space="preserve">Lawyer</w:t>
      </w:r>
      <w:r>
        <w:t xml:space="preserve"> </w:t>
      </w:r>
      <w:r>
        <w:t xml:space="preserve">in New Zealand Auckland is highly specialized, requiring a blend of technical legal knowledge, ethical rigidity, and cultural sensitivity. The jurisdiction of New Zealand Auckland demands practitioners who are not only knowledgeable about national statutes but also attuned to local court cultures and community demographics.</w:t>
      </w:r>
    </w:p>
    <w:p>
      <w:pPr>
        <w:pStyle w:val="BodyText"/>
      </w:pPr>
      <w:r>
        <w:t xml:space="preserve">The data supports the assertion that compliance with the Legal Services Act 2007 is non-negotiable, while proficiency in digital tools and Te Ao Māori principles constitutes the modern standard of excellence. Any</w:t>
      </w:r>
      <w:r>
        <w:t xml:space="preserve"> </w:t>
      </w:r>
      <w:r>
        <w:rPr>
          <w:bCs/>
          <w:b/>
        </w:rPr>
        <w:t xml:space="preserve">Lawyer</w:t>
      </w:r>
      <w:r>
        <w:t xml:space="preserve"> </w:t>
      </w:r>
      <w:r>
        <w:t xml:space="preserve">seeking to practice effectively in New Zealand Auckland must undergo continuous professional development focused on these three pillars: regulatory compliance, procedural efficiency, and cultural competency.</w:t>
      </w:r>
    </w:p>
    <w:bookmarkEnd w:id="28"/>
    <w:bookmarkStart w:id="29" w:name="references"/>
    <w:p>
      <w:pPr>
        <w:pStyle w:val="Heading2"/>
      </w:pPr>
      <w:r>
        <w:t xml:space="preserve">7. References and Statutory Basis</w:t>
      </w:r>
    </w:p>
    <w:p>
      <w:pPr>
        <w:numPr>
          <w:ilvl w:val="0"/>
          <w:numId w:val="1002"/>
        </w:numPr>
        <w:pStyle w:val="Compact"/>
      </w:pPr>
      <w:r>
        <w:rPr>
          <w:bCs/>
          <w:b/>
        </w:rPr>
        <w:t xml:space="preserve">The Legal Services Act 2007:</w:t>
      </w:r>
      <w:r>
        <w:t xml:space="preserve"> </w:t>
      </w:r>
      <w:r>
        <w:t xml:space="preserve">The primary legislation governing legal services in New Zealand, establishing the standards for all Lawyers.</w:t>
      </w:r>
    </w:p>
    <w:p>
      <w:pPr>
        <w:numPr>
          <w:ilvl w:val="0"/>
          <w:numId w:val="1002"/>
        </w:numPr>
        <w:pStyle w:val="Compact"/>
      </w:pPr>
      <w:r>
        <w:rPr>
          <w:bCs/>
          <w:b/>
        </w:rPr>
        <w:t xml:space="preserve">Laws Society of New Zealand Code of Conduct for Lawyers (2015):</w:t>
      </w:r>
      <w:r>
        <w:t xml:space="preserve"> </w:t>
      </w:r>
      <w:r>
        <w:t xml:space="preserve">Outlines the ethical obligations and professional conduct expected of practitioners.</w:t>
      </w:r>
    </w:p>
    <w:p>
      <w:pPr>
        <w:numPr>
          <w:ilvl w:val="0"/>
          <w:numId w:val="1002"/>
        </w:numPr>
        <w:pStyle w:val="Compact"/>
      </w:pPr>
      <w:r>
        <w:rPr>
          <w:bCs/>
          <w:b/>
        </w:rPr>
        <w:t xml:space="preserve">The High Court Rules 2016:</w:t>
      </w:r>
      <w:r>
        <w:t xml:space="preserve"> </w:t>
      </w:r>
      <w:r>
        <w:t xml:space="preserve">Specific procedural rules applied in Auckland and other centers for civil litigation.</w:t>
      </w:r>
    </w:p>
    <w:p>
      <w:pPr>
        <w:numPr>
          <w:ilvl w:val="0"/>
          <w:numId w:val="1002"/>
        </w:numPr>
        <w:pStyle w:val="Compact"/>
      </w:pPr>
      <w:r>
        <w:rPr>
          <w:bCs/>
          <w:b/>
        </w:rPr>
        <w:t xml:space="preserve">The District Court Rules 2014:</w:t>
      </w:r>
      <w:r>
        <w:t xml:space="preserve"> </w:t>
      </w:r>
      <w:r>
        <w:t xml:space="preserve">Governs proceedings in the District Court locations across New Zealand Auckland.</w:t>
      </w:r>
    </w:p>
    <w:p>
      <w:pPr>
        <w:pStyle w:val="FirstParagraph"/>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Legal Practice in New Zealand Auckland</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