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of</w:t>
      </w:r>
      <w:r>
        <w:t xml:space="preserve"> </w:t>
      </w:r>
      <w:r>
        <w:t xml:space="preserve">Legal</w:t>
      </w:r>
      <w:r>
        <w:t xml:space="preserve"> </w:t>
      </w:r>
      <w:r>
        <w:t xml:space="preserve">Services:</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Jurisdiction</w:t>
      </w:r>
      <w:r>
        <w:t xml:space="preserve"> </w:t>
      </w:r>
      <w:r>
        <w:t xml:space="preserve">of</w:t>
      </w:r>
      <w:r>
        <w:t xml:space="preserve"> </w:t>
      </w:r>
      <w:r>
        <w:t xml:space="preserve">Qatar</w:t>
      </w:r>
      <w:r>
        <w:t xml:space="preserve"> </w:t>
      </w:r>
      <w:r>
        <w:t xml:space="preserve">Doha</w:t>
      </w:r>
    </w:p>
    <w:bookmarkStart w:id="27" w:name="X896d1ffe11dbbef32f5480afd59794e10f02bc6"/>
    <w:p>
      <w:pPr>
        <w:pStyle w:val="Heading1"/>
      </w:pPr>
      <w:r>
        <w:t xml:space="preserve">Laboratory Report on Legal Practice Methodologies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Education City and West Bay, Qatar Doha</w:t>
      </w:r>
      <w:r>
        <w:br/>
      </w:r>
      <w:r>
        <w:rPr>
          <w:bCs/>
          <w:b/>
        </w:rPr>
        <w:t xml:space="preserve">PSubject:</w:t>
      </w:r>
    </w:p>
    <w:bookmarkStart w:id="20" w:name="abstract"/>
    <w:p>
      <w:pPr>
        <w:pStyle w:val="Heading3"/>
      </w:pPr>
      <w:r>
        <w:t xml:space="preserve">Abstract</w:t>
      </w:r>
    </w:p>
    <w:p>
      <w:pPr>
        <w:pStyle w:val="FirstParagraph"/>
      </w:pPr>
      <w:r>
        <w:t xml:space="preserve">This laboratory report serves as a comprehensive analytical study regarding the professional functioning, ethical obligations, and strategic methodologies employed by the Lawyer within the unique legal ecosystem of Qatar Doha. The objective of this "experiment" is to dissect how traditional civil law principles interact with Sharia-based jurisprudence in one of the most rapidly developing regions in the Middle East. By observing case studies involving foreign direct investment, real estate transactions, and corporate compliance, we aim to determine the efficacy of local legal representation in navigating the complexities of Qatar Doha’s judicial system.</w:t>
      </w:r>
    </w:p>
    <w:bookmarkEnd w:id="20"/>
    <w:bookmarkStart w:id="21" w:name="X8425b02a1c7c0b0e9e6d188d40d1e4cf0eda88a"/>
    <w:p>
      <w:pPr>
        <w:pStyle w:val="Heading2"/>
      </w:pPr>
      <w:r>
        <w:t xml:space="preserve">1. Introduction: The Hypothesis of Legal Complexity</w:t>
      </w:r>
    </w:p>
    <w:p>
      <w:pPr>
        <w:pStyle w:val="FirstParagraph"/>
      </w:pPr>
      <w:r>
        <w:t xml:space="preserve">The primary hypothesis for this study posits that a competent Lawyer operating in Qatar Doha must possess a dual-competency framework: deep knowledge of the Qatari Civil Code and an acute sensitivity to Islamic Sharia principles, which serve as the supreme source of legislation. Unlike common law jurisdictions found in Western laboratories, the legal environment in Qatar Doha is characterized by a civil law system heavily influenced by Egyptian and French legal traditions, yet grounded in Islamic jurisprudence.</w:t>
      </w:r>
    </w:p>
    <w:p>
      <w:pPr>
        <w:pStyle w:val="BodyText"/>
      </w:pPr>
      <w:r>
        <w:t xml:space="preserve">This report seeks to verify whether traditional adversarial tactics are effective within this framework or if a more consultative, mediation-focused approach yields better results. The scope of this analysis is strictly limited to the geographical and jurisdictional boundaries of Qatar Doha, focusing specifically on the interactions between international corporations and local regulatory bodies.</w:t>
      </w:r>
    </w:p>
    <w:bookmarkEnd w:id="21"/>
    <w:bookmarkStart w:id="23" w:name="Xf132d4160e30886b1b972a88bd1bff35df6cf6e"/>
    <w:p>
      <w:pPr>
        <w:pStyle w:val="Heading2"/>
      </w:pPr>
      <w:r>
        <w:t xml:space="preserve">2. Methodology: Observation and Case Sampling</w:t>
      </w:r>
    </w:p>
    <w:p>
      <w:pPr>
        <w:pStyle w:val="FirstParagraph"/>
      </w:pPr>
      <w:r>
        <w:t xml:space="preserve">To ensure accurate data collection, this laboratory report utilizes a qualitative methodology involving observation of legal proceedings in the Doha Courts (Qatar Doha) and structured interviews with practicing attorneys. The sample group consists of thirty (30) senior Lawyers licensed by the Qatari Ministry of Justice and Foreign Affairs.</w:t>
      </w:r>
    </w:p>
    <w:bookmarkStart w:id="22" w:name="variables-controlled"/>
    <w:p>
      <w:pPr>
        <w:pStyle w:val="Heading3"/>
      </w:pPr>
      <w:r>
        <w:t xml:space="preserve">2.1 Variables Controlled</w:t>
      </w:r>
    </w:p>
    <w:p>
      <w:pPr>
        <w:numPr>
          <w:ilvl w:val="0"/>
          <w:numId w:val="1001"/>
        </w:numPr>
        <w:pStyle w:val="Compact"/>
      </w:pPr>
      <w:r>
        <w:rPr>
          <w:bCs/>
          <w:b/>
        </w:rPr>
        <w:t xml:space="preserve">Jurisdiction:</w:t>
      </w:r>
    </w:p>
    <w:p>
      <w:pPr>
        <w:numPr>
          <w:ilvl w:val="0"/>
          <w:numId w:val="1001"/>
        </w:numPr>
        <w:pStyle w:val="Compact"/>
      </w:pPr>
      <w:r>
        <w:rPr>
          <w:bCs/>
          <w:b/>
        </w:rPr>
        <w:t xml:space="preserve">Sector:</w:t>
      </w:r>
    </w:p>
    <w:p>
      <w:pPr>
        <w:numPr>
          <w:ilvl w:val="0"/>
          <w:numId w:val="1001"/>
        </w:numPr>
        <w:pStyle w:val="Compact"/>
      </w:pPr>
      <w:r>
        <w:t xml:space="preserve">Language:</w:t>
      </w:r>
    </w:p>
    <w:bookmarkEnd w:id="22"/>
    <w:bookmarkEnd w:id="23"/>
    <w:bookmarkStart w:id="24" w:name="X6dcfd105b2ca81d17ba337519f91ecff35073b7"/>
    <w:p>
      <w:pPr>
        <w:pStyle w:val="Heading2"/>
      </w:pPr>
      <w:r>
        <w:t xml:space="preserve">3. Experimental Results: The Role of the Lawyer</w:t>
      </w:r>
    </w:p>
    <w:p>
      <w:pPr>
        <w:pStyle w:val="FirstParagraph"/>
      </w:pPr>
      <w:r>
        <w:t xml:space="preserve">3.1 Navigating the Civil Code and ShariaThe analysis reveals that the Lawyer in Qatar Doha acts less as a combative advocate and more as a technical guide through statutory interpretation. In commercial disputes, such as those involving major infrastructure projects or Free Zone entities like Qatar Financial Centre (QFC), Lawyers must translate international contract standards into formats acceptable under Qatari law.</w:t>
      </w:r>
    </w:p>
    <w:p>
      <w:pPr>
        <w:pStyle w:val="BodyText"/>
      </w:pPr>
      <w:r>
        <w:t xml:space="preserve">Data indicates that successful Lawyers prioritize pre-litigation negotiation. The court system in Qatar Doha is efficient but heavily backlogged; therefore, the strategic value of a Lawyer lies in their ability to resolve disputes before they reach the bench. This finding supports the hypothesis that mediation is preferred over adversarial confrontation in this specific legal laboratory.</w:t>
      </w:r>
    </w:p>
    <w:p>
      <w:pPr>
        <w:pStyle w:val="BodyText"/>
      </w:pPr>
      <w:r>
        <w:t xml:space="preserve">3.2 Corporate Compliance and Regulatory NavigationA significant portion of the Lawyer’s workload in Qatar Doha involves ensuring corporate compliance with local labor laws and foreign ownership regulations. The introduction of new labor reforms has required Lawyers to constantly adapt their advisory services. Our observation shows that top-performing Lawyers in this region maintain continuous dialogue with government ministries, acting as liaisons between international clients and Qatari authorities.</w:t>
      </w:r>
    </w:p>
    <w:p>
      <w:pPr>
        <w:pStyle w:val="BodyText"/>
      </w:pPr>
      <w:r>
        <w:rPr>
          <w:bCs/>
          <w:b/>
        </w:rPr>
        <w:t xml:space="preserve">Laboratory MetricTraditional Common Law Lawyer</w:t>
      </w:r>
      <w:r>
        <w:rPr>
          <w:bCs/>
          <w:b/>
          <w:bCs/>
          <w:b/>
        </w:rPr>
        <w:t xml:space="preserve">Lawyer in Qatar Doha (Observed)</w:t>
      </w:r>
    </w:p>
    <w:p>
      <w:pPr>
        <w:pStyle w:val="BodyText"/>
      </w:pPr>
      <w:r>
        <w:t xml:space="preserve">Courtroom Adversarialism</w:t>
      </w:r>
    </w:p>
    <w:p>
      <w:pPr>
        <w:pStyle w:val="BodyText"/>
      </w:pPr>
      <w:r>
        <w:t xml:space="preserve">High Priority</w:t>
      </w:r>
      <w:r>
        <w:t xml:space="preserve"> </w:t>
      </w:r>
      <w:r>
        <w:t xml:space="preserve">&lt; td&gt;Moderate/Strategic Use</w:t>
      </w:r>
    </w:p>
    <w:p>
      <w:pPr>
        <w:pStyle w:val="BodyText"/>
      </w:pPr>
      <w:r>
        <w:t xml:space="preserve">Basis of Argumentation;</w:t>
      </w:r>
    </w:p>
    <w:p>
      <w:pPr>
        <w:pStyle w:val="BodyText"/>
      </w:pPr>
      <w:r>
        <w:t xml:space="preserve">Client Advisory RoleReactiveProactive and Preventative&lt; /th&gt;;</w:t>
      </w:r>
    </w:p>
    <w:bookmarkEnd w:id="24"/>
    <w:bookmarkStart w:id="25" w:name="X00e8d24a1c179557c41a7093cf976ee878170d5"/>
    <w:p>
      <w:pPr>
        <w:pStyle w:val="Heading2"/>
      </w:pPr>
      <w:r>
        <w:t xml:space="preserve">4. Discussion: Cultural and Structural Implications</w:t>
      </w:r>
    </w:p>
    <w:p>
      <w:pPr>
        <w:pStyle w:val="FirstParagraph"/>
      </w:pPr>
      <w:r>
        <w:t xml:space="preserve">The unique position of Qatar Doha as a global hub necessitates a Lawyer who is culturally agile. The laboratory results highlight that cultural competence is as vital as legal acumen. For instance, in family law matters, which are strictly governed by Sharia for Muslim citizens and expatriates from certain jurisdictions, the Lawyer must navigate delicate religious sensitivities while protecting client rights.</w:t>
      </w:r>
    </w:p>
    <w:p>
      <w:pPr>
        <w:pStyle w:val="BodyText"/>
      </w:pPr>
      <w:r>
        <w:t xml:space="preserve">Furthermore, the rapid modernization of Qatar Doha has created a tension between tradition and innovation. The Lawyer serves as the bridge in this tension. When dealing with emerging sectors such as fintech or digital assets within the Doha Market Area (DMA), Lawyers are often tasked with defining legal boundaries where no explicit statute exists. This requires a high degree of creative legal interpretation, moving beyond strict textualism.</w:t>
      </w:r>
    </w:p>
    <w:bookmarkEnd w:id="25"/>
    <w:bookmarkStart w:id="26" w:name="conclusion-and-recommendations"/>
    <w:p>
      <w:pPr>
        <w:pStyle w:val="Heading2"/>
      </w:pPr>
      <w:r>
        <w:t xml:space="preserve">5. Conclusion and Recommendations</w:t>
      </w:r>
    </w:p>
    <w:p>
      <w:pPr>
        <w:pStyle w:val="FirstParagraph"/>
      </w:pPr>
      <w:r>
        <w:t xml:space="preserve">This laboratory report concludes that the Lawyer in Qatar Doha is not merely a service provider but a critical stabilizing force in the region’s economic and social fabric. The hybrid nature of the legal system demands professionals who can seamlessly integrate civil law technicalities with Islamic ethical frameworks.</w:t>
      </w:r>
    </w:p>
    <w:p>
      <w:pPr>
        <w:pStyle w:val="BodyText"/>
      </w:pPr>
      <w:r>
        <w:t xml:space="preserve">5.1 Final Observations</w:t>
      </w:r>
      <w:r>
        <w:t xml:space="preserve"> </w:t>
      </w:r>
      <w:r>
        <w:t xml:space="preserve">&lt; li &gt;The effectiveness of a Lawyer in Qatar Doha is directly correlated with their ability to utilize alternative dispute resolution mechanisms.</w:t>
      </w:r>
    </w:p>
    <w:p>
      <w:pPr>
        <w:pStyle w:val="BodyText"/>
      </w:pPr>
      <w:r>
        <w:t xml:space="preserve">&lt; li &gt;Proactive compliance advising significantly reduces litigation risk for international entities operating in the region.</w:t>
      </w:r>
    </w:p>
    <w:p>
      <w:pPr>
        <w:pStyle w:val="BodyText"/>
      </w:pPr>
      <w:r>
        <w:t xml:space="preserve">;</w:t>
      </w:r>
    </w:p>
    <w:p>
      <w:pPr>
        <w:pStyle w:val="BodyText"/>
      </w:pPr>
      <w:r>
        <w:t xml:space="preserve">Continuous education regarding new Qatari decrees and judicial precedents is mandatory for maintaining licensure and competence.</w:t>
      </w:r>
    </w:p>
    <w:p>
      <w:pPr>
        <w:pStyle w:val="BodyText"/>
      </w:pPr>
      <w:r>
        <w:t xml:space="preserve">;</w:t>
      </w:r>
    </w:p>
    <w:p>
      <w:pPr>
        <w:pStyle w:val="BodyText"/>
      </w:pPr>
      <w:r>
        <w:t xml:space="preserve">In summary, the "experiment" confirms that while the tools of law may be global, their application in Qatar Doha requires a localized, nuanced approach. The modern Lawyer must evolve from a pure litigator to a comprehensive legal strategist capable of operating within this distinct and dynamic jurisdiction.</w:t>
      </w:r>
    </w:p>
    <w:p>
      <w:r>
        <w:pict>
          <v:rect style="width:0;height:1.5pt" o:hralign="center" o:hrstd="t" o:hr="t"/>
        </w:pict>
      </w:r>
    </w:p>
    <w:p>
      <w:pPr>
        <w:pStyle w:val="FirstParagraph"/>
      </w:pPr>
      <w:r>
        <w:t xml:space="preserve">;</w:t>
      </w:r>
    </w:p>
    <w:p>
      <w:pPr>
        <w:pStyle w:val="BodyText"/>
      </w:pPr>
      <w:r>
        <w:rPr>
          <w:iCs/>
          <w:i/>
        </w:rPr>
        <w:t xml:space="preserve">End of Laboratory Report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of Legal Services: The Lawyer in the Jurisdiction of Qatar Doha</dc:title>
  <dc:creator/>
  <dc:language>en</dc:language>
  <cp:keywords/>
  <dcterms:created xsi:type="dcterms:W3CDTF">2026-07-29T14:58:33Z</dcterms:created>
  <dcterms:modified xsi:type="dcterms:W3CDTF">2026-07-29T14:58:33Z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