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Framework</w:t>
      </w:r>
      <w:r>
        <w:t xml:space="preserve"> </w:t>
      </w:r>
      <w:r>
        <w:t xml:space="preserve">and</w:t>
      </w:r>
      <w:r>
        <w:t xml:space="preserve"> </w:t>
      </w:r>
      <w:r>
        <w:t xml:space="preserve">Practice</w:t>
      </w:r>
      <w:r>
        <w:t xml:space="preserve"> </w:t>
      </w:r>
      <w:r>
        <w:t xml:space="preserve">Standards</w:t>
      </w:r>
      <w:r>
        <w:t xml:space="preserve"> </w:t>
      </w:r>
      <w:r>
        <w:t xml:space="preserve">for</w:t>
      </w:r>
      <w:r>
        <w:t xml:space="preserve"> </w:t>
      </w:r>
      <w:r>
        <w:t xml:space="preserve">Lawyers</w:t>
      </w:r>
      <w:r>
        <w:t xml:space="preserve"> </w:t>
      </w:r>
      <w:r>
        <w:t xml:space="preserve">in</w:t>
      </w:r>
      <w:r>
        <w:t xml:space="preserve"> </w:t>
      </w:r>
      <w:r>
        <w:t xml:space="preserve">Singapore</w:t>
      </w:r>
    </w:p>
    <w:bookmarkStart w:id="28" w:name="X9cce16d1dbbdb2cc0fbca350beaeebab93904c9"/>
    <w:p>
      <w:pPr>
        <w:pStyle w:val="Heading1"/>
      </w:pPr>
      <w:r>
        <w:t xml:space="preserve">Laboratory Report on Professional Standards and Regulatory Compliance for Lawyers in Singapore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Legal Analysis and Regulatory Studies</w:t>
      </w:r>
      <w:r>
        <w:br/>
      </w:r>
      <w:r>
        <w:rPr>
          <w:bCs/>
          <w:b/>
        </w:rPr>
        <w:t xml:space="preserve">Subject:</w:t>
      </w:r>
      <w:r>
        <w:t xml:space="preserve"> </w:t>
      </w:r>
      <w:r>
        <w:t xml:space="preserve">Operational Dynamics of the Lawyer Profession within the Jurisdiction of Singapore</w:t>
      </w:r>
    </w:p>
    <w:bookmarkStart w:id="20" w:name="abstract"/>
    <w:p>
      <w:pPr>
        <w:pStyle w:val="Heading2"/>
      </w:pPr>
      <w:r>
        <w:t xml:space="preserve">Abstract</w:t>
      </w:r>
    </w:p>
    <w:p>
      <w:pPr>
        <w:pStyle w:val="FirstParagraph"/>
      </w:pPr>
      <w:r>
        <w:t xml:space="preserve">This report serves as a comprehensive analytical documentation regarding the professional conduct, regulatory framework, and operational standards applicable to lawyers practicing in Singapore. Unlike traditional scientific laboratory experiments, this "lab report" treats the legal ecosystem of Singapore as a controlled environment wherein variables such as statutory law, ethical codes, and international commercial demands interact to produce specific outcomes. The primary objective is to dissect the unique position of a</w:t>
      </w:r>
      <w:r>
        <w:t xml:space="preserve"> </w:t>
      </w:r>
      <w:r>
        <w:rPr>
          <w:bCs/>
          <w:b/>
        </w:rPr>
        <w:t xml:space="preserve">Lawyer</w:t>
      </w:r>
      <w:r>
        <w:t xml:space="preserve"> </w:t>
      </w:r>
      <w:r>
        <w:t xml:space="preserve">within the dual-tiered court system of</w:t>
      </w:r>
      <w:r>
        <w:t xml:space="preserve"> </w:t>
      </w:r>
      <w:r>
        <w:rPr>
          <w:bCs/>
          <w:b/>
        </w:rPr>
        <w:t xml:space="preserve">Singapore Singapore</w:t>
      </w:r>
      <w:r>
        <w:t xml:space="preserve">, analyzing how strict adherence to the Legal Profession Act and professional ethics ensures justice delivery in one of Asia’s most robust legal hubs. This document aims to elucidate the rigorous training, ethical obligations, and specialized competencies required for legal practitioners to function effectively within this specific geographic and juridical context.</w:t>
      </w:r>
    </w:p>
    <w:bookmarkEnd w:id="20"/>
    <w:bookmarkStart w:id="21" w:name="introduction-and-background"/>
    <w:p>
      <w:pPr>
        <w:pStyle w:val="Heading2"/>
      </w:pPr>
      <w:r>
        <w:t xml:space="preserve">1. Introduction and Background</w:t>
      </w:r>
    </w:p>
    <w:p>
      <w:pPr>
        <w:pStyle w:val="FirstParagraph"/>
      </w:pPr>
      <w:r>
        <w:t xml:space="preserve">The jurisdiction of</w:t>
      </w:r>
      <w:r>
        <w:t xml:space="preserve"> </w:t>
      </w:r>
      <w:r>
        <w:rPr>
          <w:bCs/>
          <w:b/>
        </w:rPr>
        <w:t xml:space="preserve">Singapore Singapore</w:t>
      </w:r>
      <w:r>
        <w:t xml:space="preserve">, often referred to simply as Singapore, operates under a common law system derived from English law, yet it has developed a distinct legal identity characterized by efficiency, predictability, and integrity. Within this environment, the role of the</w:t>
      </w:r>
      <w:r>
        <w:t xml:space="preserve"> </w:t>
      </w:r>
      <w:r>
        <w:rPr>
          <w:bCs/>
          <w:b/>
        </w:rPr>
        <w:t xml:space="preserve">Lawyer</w:t>
      </w:r>
      <w:r>
        <w:t xml:space="preserve"> </w:t>
      </w:r>
      <w:r>
        <w:t xml:space="preserve">is not merely advisory but central to the functioning of civil society and international commerce. The purpose of this report is to examine the "experimental conditions" under which lawyers operate in Singapore.</w:t>
      </w:r>
    </w:p>
    <w:p>
      <w:pPr>
        <w:pStyle w:val="BodyText"/>
      </w:pPr>
      <w:r>
        <w:t xml:space="preserve">In many jurisdictions, legal practice varies significantly by region or state. However, in</w:t>
      </w:r>
      <w:r>
        <w:t xml:space="preserve"> </w:t>
      </w:r>
      <w:r>
        <w:rPr>
          <w:bCs/>
          <w:b/>
        </w:rPr>
        <w:t xml:space="preserve">Singapore Singapore</w:t>
      </w:r>
      <w:r>
        <w:t xml:space="preserve">, the legal landscape is unified under a single Supreme Court and a centralized regulatory body, the Law Society of Singapore. This centralization allows for a standardized approach to legal education and practice. The "laboratory" here is defined by the intersection of local statutes—such as the Penal Code, Civil Law Act, and Companies Act—and international treaties that Singapore has ratified. For a</w:t>
      </w:r>
      <w:r>
        <w:t xml:space="preserve"> </w:t>
      </w:r>
      <w:r>
        <w:rPr>
          <w:bCs/>
          <w:b/>
        </w:rPr>
        <w:t xml:space="preserve">Lawyer</w:t>
      </w:r>
      <w:r>
        <w:t xml:space="preserve">, understanding this hybrid environment is critical, as clients often seek counsel for cross-border transactions involving China, India, or Western markets.</w:t>
      </w:r>
    </w:p>
    <w:bookmarkEnd w:id="21"/>
    <w:bookmarkStart w:id="24" w:name="Xf049f2d33f336668c10ae6cc1e24a52be00bc40"/>
    <w:p>
      <w:pPr>
        <w:pStyle w:val="Heading2"/>
      </w:pPr>
      <w:r>
        <w:t xml:space="preserve">2. Methodology: Regulatory Framework Analysis</w:t>
      </w:r>
    </w:p>
    <w:p>
      <w:pPr>
        <w:pStyle w:val="FirstParagraph"/>
      </w:pPr>
      <w:r>
        <w:t xml:space="preserve">The analysis in this report adopts a qualitative methodology, reviewing statutory instruments and professional guidelines that govern legal practice. The primary sources of data include the Legal Profession Act (Cap 161), the Legal Profession (Professional Conduct) Rules, and judgments from the Singapore Court of Appeal. These sources define the boundaries of acceptable behavior for any</w:t>
      </w:r>
      <w:r>
        <w:t xml:space="preserve"> </w:t>
      </w:r>
      <w:r>
        <w:rPr>
          <w:bCs/>
          <w:b/>
        </w:rPr>
        <w:t xml:space="preserve">Lawyer</w:t>
      </w:r>
      <w:r>
        <w:t xml:space="preserve"> </w:t>
      </w:r>
      <w:r>
        <w:t xml:space="preserve">practicing in</w:t>
      </w:r>
      <w:r>
        <w:t xml:space="preserve"> </w:t>
      </w:r>
      <w:r>
        <w:rPr>
          <w:bCs/>
          <w:b/>
        </w:rPr>
        <w:t xml:space="preserve">Singapore Singapore</w:t>
      </w:r>
      <w:r>
        <w:t xml:space="preserve">.</w:t>
      </w:r>
    </w:p>
    <w:bookmarkStart w:id="22" w:name="licensing-and-admission"/>
    <w:p>
      <w:pPr>
        <w:pStyle w:val="Heading3"/>
      </w:pPr>
      <w:r>
        <w:t xml:space="preserve">2.1 Licensing and Admission</w:t>
      </w:r>
    </w:p>
    <w:p>
      <w:pPr>
        <w:pStyle w:val="FirstParagraph"/>
      </w:pPr>
      <w:r>
        <w:t xml:space="preserve">To enter this "laboratory," a prospective lawyer must undergo rigorous screening. Candidates are typically required to complete the Academic Phase of legal education, followed by either the Practical Training Contract (PTC) under existing firms or the Graduate Diploma in Legal Practice administered by the Singapore Academy of Law. This ensures that every admitted</w:t>
      </w:r>
      <w:r>
        <w:t xml:space="preserve"> </w:t>
      </w:r>
      <w:r>
        <w:rPr>
          <w:bCs/>
          <w:b/>
        </w:rPr>
        <w:t xml:space="preserve">Lawyer</w:t>
      </w:r>
      <w:r>
        <w:t xml:space="preserve"> </w:t>
      </w:r>
      <w:r>
        <w:t xml:space="preserve">possesses a baseline competency recognized within</w:t>
      </w:r>
      <w:r>
        <w:t xml:space="preserve"> </w:t>
      </w:r>
      <w:r>
        <w:rPr>
          <w:bCs/>
          <w:b/>
        </w:rPr>
        <w:t xml:space="preserve">Singapore Singapore</w:t>
      </w:r>
      <w:r>
        <w:t xml:space="preserve">. The strictness of this entry requirement serves as a control variable, minimizing incompetence and maintaining high public trust in the legal system.</w:t>
      </w:r>
    </w:p>
    <w:bookmarkEnd w:id="22"/>
    <w:bookmarkStart w:id="23" w:name="X2bf0bae97ed03195429e07a4c09381f09041375"/>
    <w:p>
      <w:pPr>
        <w:pStyle w:val="Heading3"/>
      </w:pPr>
      <w:r>
        <w:t xml:space="preserve">2.2 Ethical Constraints and Professional Conduct</w:t>
      </w:r>
    </w:p>
    <w:p>
      <w:pPr>
        <w:pStyle w:val="FirstParagraph"/>
      </w:pPr>
      <w:r>
        <w:t xml:space="preserve">The ethical framework is perhaps the most critical component of this report. In</w:t>
      </w:r>
      <w:r>
        <w:t xml:space="preserve"> </w:t>
      </w:r>
      <w:r>
        <w:rPr>
          <w:bCs/>
          <w:b/>
        </w:rPr>
        <w:t xml:space="preserve">Singapore Singapore</w:t>
      </w:r>
      <w:r>
        <w:t xml:space="preserve">, lawyers are officers of the court, a status that imposes duties beyond mere client representation. The core principles include confidentiality, independence, and avoiding conflicts of interest. Unlike some jurisdictions where aggressive advocacy might be rewarded if within legal bounds, the culture in</w:t>
      </w:r>
      <w:r>
        <w:t xml:space="preserve"> </w:t>
      </w:r>
      <w:r>
        <w:rPr>
          <w:bCs/>
          <w:b/>
        </w:rPr>
        <w:t xml:space="preserve">Singapore Singapore</w:t>
      </w:r>
      <w:r>
        <w:t xml:space="preserve"> </w:t>
      </w:r>
      <w:r>
        <w:t xml:space="preserve">emphasizes civility and truthfulness to the tribunal. A breach in these ethical standards can result in severe disciplinary action by the Legal Profession Disciplinary Tribunal.</w:t>
      </w:r>
    </w:p>
    <w:bookmarkEnd w:id="23"/>
    <w:bookmarkEnd w:id="24"/>
    <w:bookmarkStart w:id="25" w:name="X3d161b51089a74e139fe757e4ca9604e408d927"/>
    <w:p>
      <w:pPr>
        <w:pStyle w:val="Heading2"/>
      </w:pPr>
      <w:r>
        <w:t xml:space="preserve">3. Results: Functional Dynamics of Legal Practice</w:t>
      </w:r>
    </w:p>
    <w:p>
      <w:pPr>
        <w:pStyle w:val="FirstParagraph"/>
      </w:pPr>
      <w:r>
        <w:t xml:space="preserve">The operational output of a</w:t>
      </w:r>
      <w:r>
        <w:t xml:space="preserve"> </w:t>
      </w:r>
      <w:r>
        <w:rPr>
          <w:bCs/>
          <w:b/>
        </w:rPr>
        <w:t xml:space="preserve">Lawyer</w:t>
      </w:r>
      <w:r>
        <w:t xml:space="preserve"> </w:t>
      </w:r>
      <w:r>
        <w:t xml:space="preserve">in this jurisdiction is characterized by high precision and strategic foresight. The results of our analysis indicate three dominant areas of practice where the unique characteristics of Singapore play a pivotal role.</w:t>
      </w:r>
    </w:p>
    <w:p>
      <w:pPr>
        <w:pStyle w:val="BodyText"/>
      </w:pPr>
      <w:r>
        <w:t xml:space="preserve">Sector</w:t>
      </w:r>
    </w:p>
    <w:p>
      <w:pPr>
        <w:pStyle w:val="BodyText"/>
      </w:pPr>
      <w:r>
        <w:t xml:space="preserve">Description for Lawyers in Singapore</w:t>
      </w:r>
    </w:p>
    <w:p>
      <w:pPr>
        <w:pStyle w:val="BodyText"/>
      </w:pPr>
      <w:r>
        <w:t xml:space="preserve">Risk Profile</w:t>
      </w:r>
    </w:p>
    <w:p>
      <w:pPr>
        <w:pStyle w:val="BodyText"/>
      </w:pPr>
      <w:r>
        <w:t xml:space="preserve">Cross-Border Finance</w:t>
      </w:r>
    </w:p>
    <w:p>
      <w:pPr>
        <w:pStyle w:val="BodyText"/>
      </w:pPr>
      <w:r>
        <w:t xml:space="preserve">Singapore is a leading wealth management hub. Lawyers draft complex syndicated loans and structured products.</w:t>
      </w:r>
    </w:p>
    <w:p>
      <w:pPr>
        <w:pStyle w:val="BodyText"/>
      </w:pPr>
      <w:r>
        <w:t xml:space="preserve">High Regulatory Scrutiny (MAS Guidelines)</w:t>
      </w:r>
    </w:p>
    <w:p>
      <w:pPr>
        <w:pStyle w:val="BodyText"/>
      </w:pPr>
      <w:r>
        <w:t xml:space="preserve">Cyber Law &amp; Data Privacy</w:t>
      </w:r>
    </w:p>
    <w:p>
      <w:pPr>
        <w:pStyle w:val="BodyText"/>
      </w:pPr>
      <w:r>
        <w:t xml:space="preserve">The Personal Data Protection Act (PDPA) is strictly enforced. Lawyers must advise on compliance frameworks.</w:t>
      </w:r>
    </w:p>
    <w:p>
      <w:pPr>
        <w:pStyle w:val="BodyText"/>
      </w:pPr>
      <w:r>
        <w:t xml:space="preserve">Moderate to High</w:t>
      </w:r>
    </w:p>
    <w:p>
      <w:pPr>
        <w:pStyle w:val="BodyText"/>
      </w:pPr>
      <w:r>
        <w:t xml:space="preserve">Criminal Defense &amp; White Collar Crime</w:t>
      </w:r>
    </w:p>
    <w:p>
      <w:pPr>
        <w:pStyle w:val="BodyText"/>
      </w:pPr>
      <w:r>
        <w:t xml:space="preserve">Singapore has strict laws regarding drug trafficking and financial fraud. Defense requires meticulous procedural knowledge.Td&gt;High Stakes</w:t>
      </w:r>
    </w:p>
    <w:p>
      <w:pPr>
        <w:pStyle w:val="BodyText"/>
      </w:pPr>
      <w:r>
        <w:t xml:space="preserve">The data suggests that the modern</w:t>
      </w:r>
      <w:r>
        <w:t xml:space="preserve"> </w:t>
      </w:r>
      <w:r>
        <w:rPr>
          <w:bCs/>
          <w:b/>
        </w:rPr>
        <w:t xml:space="preserve">Lawyer</w:t>
      </w:r>
      <w:r>
        <w:t xml:space="preserve"> </w:t>
      </w:r>
      <w:r>
        <w:t xml:space="preserve">in</w:t>
      </w:r>
      <w:r>
        <w:t xml:space="preserve"> </w:t>
      </w:r>
      <w:r>
        <w:rPr>
          <w:bCs/>
          <w:b/>
        </w:rPr>
        <w:t xml:space="preserve">Singapore Singapore</w:t>
      </w:r>
      <w:r>
        <w:t xml:space="preserve"> </w:t>
      </w:r>
      <w:r>
        <w:t xml:space="preserve">must be technologically proficient. The Courts of Justice have implemented extensive digital initiatives, including electronic filing systems and virtual hearings. Consequently, traditional legal skills are now augmented by digital literacy. A lawyer who fails to adapt to these technological changes risks inefficiency and malpractice claims.</w:t>
      </w:r>
    </w:p>
    <w:bookmarkEnd w:id="25"/>
    <w:bookmarkStart w:id="26" w:name="discussion-comparative-advantages"/>
    <w:p>
      <w:pPr>
        <w:pStyle w:val="Heading2"/>
      </w:pPr>
      <w:r>
        <w:t xml:space="preserve">4. Discussion: Comparative Advantages</w:t>
      </w:r>
    </w:p>
    <w:p>
      <w:pPr>
        <w:pStyle w:val="FirstParagraph"/>
      </w:pPr>
      <w:r>
        <w:t xml:space="preserve">When analyzing the performance of lawyers in Singapore against global benchmarks, several advantages emerge. First is the linguistic proficiency; many lawyers in Singapore are bilingual, facilitating negotiations between Eastern and Western parties. Second is the independence of the judiciary, which provides a predictable outcome for legal disputes. This predictability reduces litigation risk for clients and allows</w:t>
      </w:r>
      <w:r>
        <w:t xml:space="preserve"> </w:t>
      </w:r>
      <w:r>
        <w:rPr>
          <w:bCs/>
          <w:b/>
        </w:rPr>
        <w:t xml:space="preserve">Lawyer</w:t>
      </w:r>
      <w:r>
        <w:t xml:space="preserve">s to provide more accurate advice on potential liabilities.</w:t>
      </w:r>
    </w:p>
    <w:p>
      <w:pPr>
        <w:pStyle w:val="BodyText"/>
      </w:pPr>
      <w:r>
        <w:t xml:space="preserve">However, challenges remain. The cost of living in Singapore is high, leading to higher hourly rates for senior lawyers compared to regional peers. Additionally, the small domestic market means that firms must look outward for growth. This forces</w:t>
      </w:r>
      <w:r>
        <w:t xml:space="preserve"> </w:t>
      </w:r>
      <w:r>
        <w:rPr>
          <w:bCs/>
          <w:b/>
        </w:rPr>
        <w:t xml:space="preserve">Lawyer</w:t>
      </w:r>
      <w:r>
        <w:t xml:space="preserve">s in Singapore to constantly update their knowledge on international jurisdictions and treaties.</w:t>
      </w:r>
    </w:p>
    <w:bookmarkEnd w:id="26"/>
    <w:bookmarkStart w:id="27" w:name="conclusion"/>
    <w:p>
      <w:pPr>
        <w:pStyle w:val="Heading2"/>
      </w:pPr>
      <w:r>
        <w:t xml:space="preserve">5. Conclusion</w:t>
      </w:r>
    </w:p>
    <w:p>
      <w:pPr>
        <w:pStyle w:val="FirstParagraph"/>
      </w:pPr>
      <w:r>
        <w:t xml:space="preserve">This lab report concludes that the legal profession in Singapore is a highly regulated, efficient, and internationally integrated system. The role of the</w:t>
      </w:r>
      <w:r>
        <w:t xml:space="preserve"> </w:t>
      </w:r>
      <w:r>
        <w:rPr>
          <w:bCs/>
          <w:b/>
        </w:rPr>
        <w:t xml:space="preserve">Lawyer</w:t>
      </w:r>
      <w:r>
        <w:t xml:space="preserve"> </w:t>
      </w:r>
      <w:r>
        <w:t xml:space="preserve">in this jurisdiction is defined by a strict adherence to ethical codes and statutory requirements set forth for practice within</w:t>
      </w:r>
      <w:r>
        <w:t xml:space="preserve"> </w:t>
      </w:r>
      <w:r>
        <w:rPr>
          <w:bCs/>
          <w:b/>
        </w:rPr>
        <w:t xml:space="preserve">Singapore Singapore</w:t>
      </w:r>
      <w:r>
        <w:t xml:space="preserve">. The "experimental results" demonstrate that success in this field requires not only deep knowledge of local laws but also an understanding of global business practices. The integrity and reliability of the Singapore legal system are directly attributable to the high standards maintained by its legal practitioners. Future iterations of this analysis may focus on emerging areas such as blockchain regulation and AI liability, which will further test the adaptability of lawyers in this dynamic jurisdiction.</w:t>
      </w:r>
    </w:p>
    <w:p>
      <w:pPr>
        <w:pStyle w:val="BodyText"/>
      </w:pPr>
      <w:r>
        <w:rPr>
          <w:bCs/>
          <w:b/>
        </w:rPr>
        <w:t xml:space="preserve">Prepared by:</w:t>
      </w:r>
      <w:r>
        <w:br/>
      </w:r>
      <w:r>
        <w:t xml:space="preserve">Senior Legal Analyst</w:t>
      </w:r>
      <w:r>
        <w:br/>
      </w:r>
      <w:r>
        <w:t xml:space="preserve">Institute of Legal Analysis</w:t>
      </w:r>
      <w:r>
        <w:br/>
      </w:r>
      <w:r>
        <w:t xml:space="preserve">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Framework and Practice Standards for Lawyers in Singapore</dc:title>
  <dc:creator/>
  <dc:language>en</dc:language>
  <cp:keywords/>
  <dcterms:created xsi:type="dcterms:W3CDTF">2026-07-29T21:29:06Z</dcterms:created>
  <dcterms:modified xsi:type="dcterms:W3CDTF">2026-07-29T21:29:06Z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