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Consultation</w:t>
      </w:r>
      <w:r>
        <w:t xml:space="preserve"> </w:t>
      </w:r>
      <w:r>
        <w:t xml:space="preserve">Analysis</w:t>
      </w:r>
      <w:r>
        <w:t xml:space="preserve"> </w:t>
      </w:r>
      <w:r>
        <w:t xml:space="preserve">for</w:t>
      </w:r>
      <w:r>
        <w:t xml:space="preserve"> </w:t>
      </w:r>
      <w:r>
        <w:t xml:space="preserve">Jurisdictional</w:t>
      </w:r>
      <w:r>
        <w:t xml:space="preserve"> </w:t>
      </w:r>
      <w:r>
        <w:t xml:space="preserve">Compliance</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bb93bdb28a246932cbb8535455f3cc10d20a04e"/>
    <w:p>
      <w:pPr>
        <w:pStyle w:val="Heading1"/>
      </w:pPr>
      <w:r>
        <w:t xml:space="preserve">Lab Report: Legal Consultation Analysis for Jurisdictional Compliance in South Korea Seoul</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Procedural Efficacy and Strategic Advisory Frameworks for Foreign Entities Operating within the Jurisdiction of South Korea Seoul</w:t>
      </w:r>
      <w:r>
        <w:br/>
      </w:r>
      <w:r>
        <w:rPr>
          <w:bCs/>
          <w:b/>
        </w:rPr>
        <w:t xml:space="preserve">Subject:</w:t>
      </w:r>
      <w:r>
        <w:t xml:space="preserve"> </w:t>
      </w:r>
      <w:r>
        <w:t xml:space="preserve">Legal Representation, Regulatory Compliance, and Cross-Border Contractual Enforcement</w:t>
      </w:r>
      <w:r>
        <w:br/>
      </w:r>
      <w:r>
        <w:rPr>
          <w:bCs/>
          <w:b/>
        </w:rPr>
        <w:t xml:space="preserve">Key Terminology:</w:t>
      </w:r>
      <w:r>
        <w:t xml:space="preserve"> </w:t>
      </w:r>
      <w:r>
        <w:rPr>
          <w:iCs/>
          <w:i/>
        </w:rPr>
        <w:t xml:space="preserve">Lab Report</w:t>
      </w:r>
      <w:r>
        <w:t xml:space="preserve">,</w:t>
      </w:r>
      <w:r>
        <w:t xml:space="preserve"> </w:t>
      </w:r>
      <w:r>
        <w:rPr>
          <w:iCs/>
          <w:i/>
        </w:rPr>
        <w:t xml:space="preserve">Lawyer</w:t>
      </w:r>
      <w:r>
        <w:t xml:space="preserve">,</w:t>
      </w:r>
      <w:r>
        <w:t xml:space="preserve"> </w:t>
      </w:r>
      <w:r>
        <w:rPr>
          <w:iCs/>
          <w:i/>
        </w:rPr>
        <w:t xml:space="preserve">South Korea Seoul</w:t>
      </w:r>
      <w:r>
        <w:br/>
      </w:r>
      <w:r>
        <w:rPr>
          <w:bCs/>
          <w:b/>
        </w:rPr>
        <w:t xml:space="preserve">Status:</w:t>
      </w:r>
      <w:r>
        <w:t xml:space="preserve"> </w:t>
      </w:r>
      <w:r>
        <w:t xml:space="preserve">Finalized Draft for Corporate Review</w:t>
      </w:r>
    </w:p>
    <w:bookmarkStart w:id="20" w:name="abstract-and-introduction"/>
    <w:p>
      <w:pPr>
        <w:pStyle w:val="Heading2"/>
      </w:pPr>
      <w:r>
        <w:t xml:space="preserve">1. Abstract and Introduction</w:t>
      </w:r>
    </w:p>
    <w:p>
      <w:pPr>
        <w:pStyle w:val="FirstParagraph"/>
      </w:pPr>
      <w:r>
        <w:t xml:space="preserve">This document serves as a comprehensive laboratory analysis of the legal landscape surrounding foreign business operations, specifically focusing on the metropolitan hub of South Korea Seoul. The primary objective of this study is to evaluate the critical role a qualified Lawyer plays in navigating the complex regulatory environment specific to South Korea Seoul. As international trade intensifies, understanding how legal counsel interacts with local statutes, labor laws, and intellectual property rights becomes paramount. This Lab Report aims to dissect the necessary competencies of legal representation within this specific geographic and political context.</w:t>
      </w:r>
    </w:p>
    <w:bookmarkEnd w:id="20"/>
    <w:bookmarkStart w:id="21" w:name="methodology-defining-the-legal-variables"/>
    <w:p>
      <w:pPr>
        <w:pStyle w:val="Heading2"/>
      </w:pPr>
      <w:r>
        <w:t xml:space="preserve">2. Methodology: Defining the Legal Variables</w:t>
      </w:r>
    </w:p>
    <w:p>
      <w:pPr>
        <w:pStyle w:val="FirstParagraph"/>
      </w:pPr>
      <w:r>
        <w:t xml:space="preserve">To construct a robust analysis, we must first define the variables present in this "legal laboratory." The core variable is the Lawyer, who acts as the primary agent of change and protection for their client. The second variable is South Korea Seoul, which represents not just a geographic location but a distinct legal ecosystem governed by civil law traditions heavily influenced by German and Japanese jurisprudence. The environment of South Korea Seoul is characterized by rapid technological advancement, strict corporate governance regulations enforced by the Financial Supervisory Service, and unique cultural nuances that dictate business etiquette.</w:t>
      </w:r>
    </w:p>
    <w:p>
      <w:pPr>
        <w:pStyle w:val="BodyText"/>
      </w:pPr>
      <w:r>
        <w:t xml:space="preserve">The methodology involves a comparative analysis of standard international legal practices versus those required specifically within the borders of South Korea Seoul. This includes examining how a Lawyer must adapt their strategies to align with the Fair Trade Commission regulations and the specific labor protections afforded to workers in Seoul’s high-density commercial districts.</w:t>
      </w:r>
    </w:p>
    <w:bookmarkEnd w:id="21"/>
    <w:bookmarkStart w:id="25" w:name="X3f2292232372e43aed4aad48406ef6f18819dbf"/>
    <w:p>
      <w:pPr>
        <w:pStyle w:val="Heading2"/>
      </w:pPr>
      <w:r>
        <w:t xml:space="preserve">3. Analysis: The Role of the Lawyer in South Korea Seoul</w:t>
      </w:r>
    </w:p>
    <w:bookmarkStart w:id="22" w:name="regulatory-navigation-and-compliance"/>
    <w:p>
      <w:pPr>
        <w:pStyle w:val="Heading3"/>
      </w:pPr>
      <w:r>
        <w:t xml:space="preserve">3.1 Regulatory Navigation and Compliance</w:t>
      </w:r>
    </w:p>
    <w:p>
      <w:pPr>
        <w:pStyle w:val="FirstParagraph"/>
      </w:pPr>
      <w:r>
        <w:t xml:space="preserve">In South Korea Seoul, the regulatory framework is dense and frequently updated. A Lawyer cannot rely solely on general knowledge; they must possess specialized expertise in local statutes. For instance, foreign companies establishing a presence in South Korea Seoul must navigate the Foreign Investment Promotion Act. This Lab Report highlights that a competent Lawyer acts as a filter between chaotic market dynamics and structured legal compliance. They ensure that business registration with the Korean Commercial Registry is executed flawlessly, preventing administrative halts that could jeopardize operations.</w:t>
      </w:r>
    </w:p>
    <w:bookmarkEnd w:id="22"/>
    <w:bookmarkStart w:id="23" w:name="intellectual-property-protection"/>
    <w:p>
      <w:pPr>
        <w:pStyle w:val="Heading3"/>
      </w:pPr>
      <w:r>
        <w:t xml:space="preserve">3.2 Intellectual Property Protection</w:t>
      </w:r>
    </w:p>
    <w:p>
      <w:pPr>
        <w:pStyle w:val="FirstParagraph"/>
      </w:pPr>
      <w:r>
        <w:t xml:space="preserve">South Korea Seoul is a global leader in technology and innovation, making intellectual property (IP) protection a critical laboratory variable. A Lawyer specializing in IP law within South Korea Seoul must be adept at navigating the Korean Intellectual Property Office (KIPO). The analysis shows that trademark registration processes in South Korea Seoul differ significantly from Western models, often relying on a "first-to-file" system rather than "first-to-use." Therefore, the proactive engagement of a Lawyer is essential to secure rights before competitors can exploit loopholes.</w:t>
      </w:r>
    </w:p>
    <w:bookmarkEnd w:id="23"/>
    <w:bookmarkStart w:id="24" w:name="labor-law-and-cultural-integration"/>
    <w:p>
      <w:pPr>
        <w:pStyle w:val="Heading3"/>
      </w:pPr>
      <w:r>
        <w:t xml:space="preserve">3.3 Labor Law and Cultural Integration</w:t>
      </w:r>
    </w:p>
    <w:p>
      <w:pPr>
        <w:pStyle w:val="FirstParagraph"/>
      </w:pPr>
      <w:r>
        <w:t xml:space="preserve">The labor market in South Korea Seoul is governed by strict laws regarding termination, working hours, and minimum wage. This Lab Report identifies that a Lawyer serves not only as a legal advocate but also as a cultural translator. Misunderstandings between foreign management and local employees can lead to costly litigation. A skilled Lawyer in South Korea Seoul helps draft employment contracts that are legally binding yet culturally sensitive, ensuring harmony within the workplace while maintaining strict adherence to the Labor Standards Act.</w:t>
      </w:r>
    </w:p>
    <w:bookmarkEnd w:id="24"/>
    <w:bookmarkEnd w:id="25"/>
    <w:bookmarkStart w:id="26" w:name="data-presentation-key-legal-risks"/>
    <w:p>
      <w:pPr>
        <w:pStyle w:val="Heading2"/>
      </w:pPr>
      <w:r>
        <w:t xml:space="preserve">4. Data Presentation: Key Legal Risks</w:t>
      </w:r>
    </w:p>
    <w:p>
      <w:pPr>
        <w:pStyle w:val="FirstParagraph"/>
      </w:pPr>
      <w:r>
        <w:t xml:space="preserve">The following table summarizes the key legal risks identified in this Lab Report for entities operating in South Korea Seoul without adequate Lawyer intervention.</w:t>
      </w:r>
    </w:p>
    <w:p>
      <w:pPr>
        <w:pStyle w:val="BodyText"/>
      </w:pPr>
      <w:r>
        <w:t xml:space="preserve">Risk Category</w:t>
      </w:r>
    </w:p>
    <w:p>
      <w:pPr>
        <w:pStyle w:val="BodyText"/>
      </w:pPr>
      <w:r>
        <w:t xml:space="preserve">Description</w:t>
      </w:r>
    </w:p>
    <w:p>
      <w:pPr>
        <w:pStyle w:val="BodyText"/>
      </w:pPr>
      <w:r>
        <w:t xml:space="preserve">Mitigation Strategy via Lawyer&gt;</w:t>
      </w:r>
    </w:p>
    <w:p>
      <w:pPr>
        <w:pStyle w:val="BodyText"/>
      </w:pPr>
      <w:r>
        <w:t xml:space="preserve">&gt;</w:t>
      </w:r>
    </w:p>
    <w:p>
      <w:pPr>
        <w:pStyle w:val="BodyText"/>
      </w:pPr>
      <w:r>
        <w:t xml:space="preserve">&gt;</w:t>
      </w:r>
      <w:r>
        <w:t xml:space="preserve"> </w:t>
      </w:r>
      <w:r>
        <w:t xml:space="preserve">&lt;</w:t>
      </w:r>
    </w:p>
    <w:p>
      <w:pPr>
        <w:pStyle w:val="BodyText"/>
      </w:pPr>
      <w:r>
        <w:t xml:space="preserve">&gt;</w:t>
      </w:r>
      <w:r>
        <w:t xml:space="preserve"> </w:t>
      </w:r>
      <w:r>
        <w:t xml:space="preserve">&lt;</w:t>
      </w:r>
    </w:p>
    <w:p>
      <w:pPr>
        <w:pStyle w:val="BodyText"/>
      </w:pPr>
      <w:r>
        <w:t xml:space="preserve">&gt;</w:t>
      </w:r>
      <w:r>
        <w:t xml:space="preserve"> </w:t>
      </w:r>
      <w:r>
        <w:t xml:space="preserve">&lt;</w:t>
      </w:r>
    </w:p>
    <w:p>
      <w:pPr>
        <w:pStyle w:val="BodyText"/>
      </w:pPr>
      <w:r>
        <w:t xml:space="preserve">Cross-Border Contract Disputes&lt;&lt; /td&gt; &gt;&gt;</w:t>
      </w:r>
      <w:r>
        <w:t xml:space="preserve"> </w:t>
      </w:r>
      <w:r>
        <w:t xml:space="preserve">&lt;</w:t>
      </w:r>
    </w:p>
    <w:p>
      <w:pPr>
        <w:pStyle w:val="BodyText"/>
      </w:pPr>
      <w:r>
        <w:t xml:space="preserve">Jurisdictional ambiguity between Korean and foreign laws.&lt; /td&gt; &gt; &gt;</w:t>
      </w:r>
    </w:p>
    <w:p>
      <w:pPr>
        <w:pStyle w:val="BodyText"/>
      </w:pPr>
      <w:r>
        <w:t xml:space="preserve">Clear choice of law clauses drafted by a Lawyer familiar with international treaties.&gt;</w:t>
      </w:r>
      <w:r>
        <w:t xml:space="preserve"> </w:t>
      </w:r>
      <w:r>
        <w:t xml:space="preserve">&gt;</w:t>
      </w:r>
    </w:p>
    <w:p>
      <w:pPr>
        <w:pStyle w:val="BodyText"/>
      </w:pPr>
      <w:r>
        <w:t xml:space="preserve">&gt;</w:t>
      </w:r>
    </w:p>
    <w:p>
      <w:pPr>
        <w:pStyle w:val="BodyText"/>
      </w:pPr>
      <w:r>
        <w:t xml:space="preserve">Tax Compliance&gt;</w:t>
      </w:r>
    </w:p>
    <w:p>
      <w:pPr>
        <w:pStyle w:val="BodyText"/>
      </w:pPr>
      <w:r>
        <w:t xml:space="preserve">Complex corporate tax structures in South Korea Seoul.&gt;</w:t>
      </w:r>
    </w:p>
    <w:p>
      <w:pPr>
        <w:pStyle w:val="BodyText"/>
      </w:pPr>
      <w:r>
        <w:t xml:space="preserve">Audit representation and strategic planning to minimize liability legally.&gt;</w:t>
      </w:r>
    </w:p>
    <w:p>
      <w:pPr>
        <w:pStyle w:val="BodyText"/>
      </w:pPr>
      <w:r>
        <w:t xml:space="preserve">Data Privacy (PIPA)</w:t>
      </w:r>
    </w:p>
    <w:p>
      <w:pPr>
        <w:pStyle w:val="BodyText"/>
      </w:pPr>
      <w:r>
        <w:t xml:space="preserve">Strict Personal Information Protection Act in South Korea Seoul</w:t>
      </w:r>
    </w:p>
    <w:p>
      <w:pPr>
        <w:pStyle w:val="BodyText"/>
      </w:pPr>
      <w:r>
        <w:t xml:space="preserve">Drafting privacy policies that exceed international standards to ensure local compliance.&gt;</w:t>
      </w:r>
      <w:r>
        <w:t xml:space="preserve"> </w:t>
      </w:r>
      <w:r>
        <w:t xml:space="preserve">&gt;</w:t>
      </w:r>
      <w:r>
        <w:t xml:space="preserve"> </w:t>
      </w:r>
      <w:r>
        <w:t xml:space="preserve">&gt;</w:t>
      </w:r>
    </w:p>
    <w:bookmarkEnd w:id="26"/>
    <w:bookmarkStart w:id="27" w:name="X8d8ee29e6dce896a01ecd64b9ef750e1eaec62c"/>
    <w:p>
      <w:pPr>
        <w:pStyle w:val="Heading2"/>
      </w:pPr>
      <w:r>
        <w:t xml:space="preserve">5. Discussion: The Necessity of Localized Legal Counsel</w:t>
      </w:r>
    </w:p>
    <w:p>
      <w:pPr>
        <w:pStyle w:val="FirstParagraph"/>
      </w:pPr>
      <w:r>
        <w:t xml:space="preserve">The findings of this Lab Report strongly suggest that the role of a Lawyer in South Korea Seoul cannot be outsourced or generalized. The legal system in South Korea Seoul operates on nuances that are often lost on foreign practitioners. For example, the concept of "Jeong" (human connections and relationships) plays a subtle but significant role in dispute resolution outside of formal court settings. A Lawyer who understands this cultural dimension can negotiate settlements more effectively than one who relies strictly on statutory text.</w:t>
      </w:r>
    </w:p>
    <w:p>
      <w:pPr>
        <w:pStyle w:val="BodyText"/>
      </w:pPr>
      <w:r>
        <w:t xml:space="preserve">Furthermore, the pace of legislative change in South Korea Seoul is rapid. New regulations regarding digital platforms, cryptocurrency, and environmental standards emerge frequently. A dedicated Lawyer provides ongoing monitoring services that act as an early warning system for their clients. This proactive approach is a key differentiator highlighted in this Lab Report.</w:t>
      </w:r>
    </w:p>
    <w:bookmarkEnd w:id="27"/>
    <w:bookmarkStart w:id="28" w:name="conclusion"/>
    <w:p>
      <w:pPr>
        <w:pStyle w:val="Heading2"/>
      </w:pPr>
      <w:r>
        <w:t xml:space="preserve">6. Conclusion</w:t>
      </w:r>
    </w:p>
    <w:p>
      <w:pPr>
        <w:pStyle w:val="FirstParagraph"/>
      </w:pPr>
      <w:r>
        <w:t xml:space="preserve">In conclusion, this Lab Report demonstrates that engaging a Lawyer is not merely a procedural formality for businesses entering South Korea Seoul, but a strategic necessity. The intersection of rigorous civil law frameworks and dynamic market forces in South Korea Seoul creates a unique environment where legal expertise is the primary safeguard against operational failure. Whether dealing with corporate governance, intellectual property, or labor relations, the Lawyer serves as the essential bridge between foreign intent and local reality. Companies that fail to recognize this dynamic risk severe legal and financial repercussions. Therefore, it is recommended that all entities operating in South Korea Seoul prioritize the selection of a Lawyer with deep local expertise.</w:t>
      </w:r>
    </w:p>
    <w:bookmarkEnd w:id="28"/>
    <w:bookmarkStart w:id="29" w:name="recommendations"/>
    <w:p>
      <w:pPr>
        <w:pStyle w:val="Heading2"/>
      </w:pPr>
      <w:r>
        <w:t xml:space="preserve">7. Recommendations</w:t>
      </w:r>
    </w:p>
    <w:p>
      <w:pPr>
        <w:numPr>
          <w:ilvl w:val="0"/>
          <w:numId w:val="1001"/>
        </w:numPr>
        <w:pStyle w:val="Compact"/>
      </w:pPr>
      <w:r>
        <w:rPr>
          <w:bCs/>
          <w:b/>
        </w:rPr>
        <w:t xml:space="preserve">Vet Local Expertise:</w:t>
      </w:r>
      <w:r>
        <w:t xml:space="preserve"> </w:t>
      </w:r>
      <w:r>
        <w:t xml:space="preserve">Ensure the chosen Lawyer has extensive experience specifically within South Korea Seoul, not just general Korean law.</w:t>
      </w:r>
    </w:p>
    <w:p>
      <w:pPr>
        <w:numPr>
          <w:ilvl w:val="0"/>
          <w:numId w:val="1001"/>
        </w:numPr>
        <w:pStyle w:val="Compact"/>
      </w:pPr>
      <w:r>
        <w:rPr>
          <w:bCs/>
          <w:b/>
        </w:rPr>
        <w:t xml:space="preserve">Cultural Training:</w:t>
      </w:r>
      <w:r>
        <w:t xml:space="preserve"> </w:t>
      </w:r>
      <w:r>
        <w:t xml:space="preserve">Invest in cross-cultural legal training for internal teams to work effectively with their Lawyer.</w:t>
      </w:r>
    </w:p>
    <w:p>
      <w:pPr>
        <w:numPr>
          <w:ilvl w:val="0"/>
          <w:numId w:val="1001"/>
        </w:numPr>
        <w:pStyle w:val="Compact"/>
      </w:pPr>
      <w:r>
        <w:rPr>
          <w:bCs/>
          <w:b/>
        </w:rPr>
        <w:t xml:space="preserve">Ongoing Compliance:</w:t>
      </w:r>
      <w:r>
        <w:t xml:space="preserve"> </w:t>
      </w:r>
      <w:r>
        <w:t xml:space="preserve">Establish a routine review cycle with the Lawyer to adapt to new regulations in South Korea Seoul.</w:t>
      </w:r>
    </w:p>
    <w:p>
      <w:pPr>
        <w:pStyle w:val="FirstParagraph"/>
      </w:pPr>
      <w:r>
        <w:rPr>
          <w:iCs/>
          <w:i/>
        </w:rPr>
        <w:t xml:space="preserve">Note: This Lab Report is for informational purposes and does not constitute formal legal advice. Consult a qualified Lawyer in South Korea Seoul for specific legal matters.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Consultation Analysis for Jurisdictional Compliance in South Korea Seoul</dc:title>
  <dc:creator/>
  <cp:keywords/>
  <dcterms:created xsi:type="dcterms:W3CDTF">2026-07-29T17:36:18Z</dcterms:created>
  <dcterms:modified xsi:type="dcterms:W3CDTF">2026-07-29T17:36:18Z</dcterms:modified>
</cp:coreProperties>
</file>

<file path=docProps/custom.xml><?xml version="1.0" encoding="utf-8"?>
<Properties xmlns="http://schemas.openxmlformats.org/officeDocument/2006/custom-properties" xmlns:vt="http://schemas.openxmlformats.org/officeDocument/2006/docPropsVTypes"/>
</file>