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Compliance</w:t>
      </w:r>
      <w:r>
        <w:t xml:space="preserve"> </w:t>
      </w:r>
      <w:r>
        <w:t xml:space="preserve">and</w:t>
      </w:r>
      <w:r>
        <w:t xml:space="preserve"> </w:t>
      </w:r>
      <w:r>
        <w:t xml:space="preserve">Strategic</w:t>
      </w:r>
      <w:r>
        <w:t xml:space="preserve"> </w:t>
      </w:r>
      <w:r>
        <w:t xml:space="preserve">Advisory</w:t>
      </w:r>
      <w:r>
        <w:t xml:space="preserve"> </w:t>
      </w:r>
      <w:r>
        <w:t xml:space="preserve">Framework</w:t>
      </w:r>
      <w:r>
        <w:t xml:space="preserve"> </w:t>
      </w:r>
      <w:r>
        <w:t xml:space="preserve">for</w:t>
      </w:r>
      <w:r>
        <w:t xml:space="preserve"> </w:t>
      </w:r>
      <w:r>
        <w:t xml:space="preserve">Lawyer</w:t>
      </w:r>
      <w:r>
        <w:t xml:space="preserve"> </w:t>
      </w:r>
      <w:r>
        <w:t xml:space="preserve">Services</w:t>
      </w:r>
      <w:r>
        <w:t xml:space="preserve"> </w:t>
      </w:r>
      <w:r>
        <w:t xml:space="preserve">in</w:t>
      </w:r>
      <w:r>
        <w:t xml:space="preserve"> </w:t>
      </w:r>
      <w:r>
        <w:t xml:space="preserve">Spain</w:t>
      </w:r>
      <w:r>
        <w:t xml:space="preserve"> </w:t>
      </w:r>
      <w:r>
        <w:t xml:space="preserve">Valencia</w:t>
      </w:r>
    </w:p>
    <w:bookmarkStart w:id="29" w:name="X53fd59b959c0d3d38d95bef1f0018ab8cd9e818"/>
    <w:p>
      <w:pPr>
        <w:pStyle w:val="Heading1"/>
      </w:pPr>
      <w:r>
        <w:t xml:space="preserve">Laboratory Report on Jurisprudential Analysis and Strategic Implementation of Lawyer Services in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Prepared For:</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w:t>
      </w:r>
      <w:r>
        <w:t xml:space="preserve">serves as a rigorous analytical document designed to evaluate the operational mechanics, regulatory adherence, and client service delivery models of a practicing</w:t>
      </w:r>
      <w:r>
        <w:t xml:space="preserve"> </w:t>
      </w:r>
      <w:r>
        <w:rPr>
          <w:iCs/>
          <w:i/>
        </w:rPr>
        <w:t xml:space="preserve">Lawyer</w:t>
      </w:r>
      <w:r>
        <w:t xml:space="preserve"> </w:t>
      </w:r>
      <w:r>
        <w:t xml:space="preserve">operating within the specific jurisdiction of</w:t>
      </w:r>
      <w:r>
        <w:t xml:space="preserve"> </w:t>
      </w:r>
      <w:r>
        <w:rPr>
          <w:bCs/>
          <w:b/>
        </w:rPr>
        <w:t xml:space="preserve">Spain Valencia</w:t>
      </w:r>
      <w:r>
        <w:t xml:space="preserve">. The primary objective of this study is to dissect the complex interplay between national Spanish legal frameworks and regional Valencian judicial customs. By treating legal practice as a system requiring precise calibration, this report aims to identify inefficiencies in case management, ensure strict adherence to the Colegios de Abogados (Bar Associations) regulations, and optimize strategic advisory outcomes for clients residing or conducting business in Valencia. The findings presented herein are derived from simulated stress-testing of legal protocols and an examination of current statutory requirements governing civil, commercial, and penal law within the autonomous community.</w:t>
      </w:r>
    </w:p>
    <w:bookmarkEnd w:id="20"/>
    <w:bookmarkStart w:id="21" w:name="introduction-the-contextual-landscape"/>
    <w:p>
      <w:pPr>
        <w:pStyle w:val="Heading2"/>
      </w:pPr>
      <w:r>
        <w:t xml:space="preserve">2. Introduction: The Contextual Landscape</w:t>
      </w:r>
    </w:p>
    <w:p>
      <w:pPr>
        <w:pStyle w:val="FirstParagraph"/>
      </w:pPr>
      <w:r>
        <w:t xml:space="preserve">The legal ecosystem in</w:t>
      </w:r>
      <w:r>
        <w:t xml:space="preserve"> </w:t>
      </w:r>
      <w:r>
        <w:rPr>
          <w:bCs/>
          <w:b/>
        </w:rPr>
        <w:t xml:space="preserve">Spain Valencia</w:t>
      </w:r>
      <w:r>
        <w:t xml:space="preserve"> </w:t>
      </w:r>
      <w:r>
        <w:t xml:space="preserve">is characterized by a dual-layered jurisdictional structure. While the Spanish Constitution and national codes (such as the Civil Code and Penal Code) provide the foundational laws, specific procedural nuances are often dictated by regional practices and local court expectations. A competent</w:t>
      </w:r>
      <w:r>
        <w:t xml:space="preserve"> </w:t>
      </w:r>
      <w:r>
        <w:rPr>
          <w:iCs/>
          <w:i/>
        </w:rPr>
        <w:t xml:space="preserve">Lawyer</w:t>
      </w:r>
      <w:r>
        <w:t xml:space="preserve"> </w:t>
      </w:r>
      <w:r>
        <w:t xml:space="preserve">must possess not only a general understanding of Iberian jurisprudence but also a granular knowledge of how these laws are applied specifically in the courts of Valencia. This report posits that legal practice is akin to a scientific laboratory where variables—such as evidence admissibility, procedural deadlines, and regional judicial biases—must be meticulously controlled to achieve a successful verdict.</w:t>
      </w:r>
    </w:p>
    <w:p>
      <w:pPr>
        <w:pStyle w:val="BodyText"/>
      </w:pPr>
      <w:r>
        <w:t xml:space="preserve">The relevance of this</w:t>
      </w:r>
      <w:r>
        <w:t xml:space="preserve"> </w:t>
      </w:r>
      <w:r>
        <w:rPr>
          <w:iCs/>
          <w:i/>
        </w:rPr>
        <w:t xml:space="preserve">Laboratory Report</w:t>
      </w:r>
      <w:r>
        <w:t xml:space="preserve"> </w:t>
      </w:r>
      <w:r>
        <w:t xml:space="preserve">stems from the increasing complexity of cross-border transactions and domestic disputes in Valencia, particularly regarding real estate law (a critical sector in the region), maritime commerce due to its port infrastructure, and intellectual property rights. The</w:t>
      </w:r>
      <w:r>
        <w:t xml:space="preserve"> </w:t>
      </w:r>
      <w:r>
        <w:rPr>
          <w:iCs/>
          <w:i/>
        </w:rPr>
        <w:t xml:space="preserve">Lawyer</w:t>
      </w:r>
      <w:r>
        <w:t xml:space="preserve"> </w:t>
      </w:r>
      <w:r>
        <w:t xml:space="preserve">acting as the principal subject of this analysis must demonstrate proficiency in navigating both Castilian Spanish legal terminology and Valencian/Catalan linguistic requirements where applicable.</w:t>
      </w:r>
    </w:p>
    <w:bookmarkEnd w:id="21"/>
    <w:bookmarkStart w:id="22" w:name="Xfaa7e174ee40791d4f236c5e5163f9af85a9039"/>
    <w:p>
      <w:pPr>
        <w:pStyle w:val="Heading2"/>
      </w:pPr>
      <w:r>
        <w:t xml:space="preserve">3. Methodology: The Legal Laboratory Framework</w:t>
      </w:r>
    </w:p>
    <w:p>
      <w:pPr>
        <w:pStyle w:val="FirstParagraph"/>
      </w:pPr>
      <w:r>
        <w:t xml:space="preserve">To ensure a comprehensive evaluation, this report employs a qualitative and quantitative methodology modeled after scientific laboratory experiments. The "laboratory" in this context refers to the law firm’s operational environment and its interaction with the judicial system of</w:t>
      </w:r>
      <w:r>
        <w:t xml:space="preserve"> </w:t>
      </w:r>
      <w:r>
        <w:rPr>
          <w:bCs/>
          <w:b/>
        </w:rPr>
        <w:t xml:space="preserve">Spain Valencia</w:t>
      </w:r>
      <w:r>
        <w:t xml:space="preserve">. The following variables were monitored during the simulation period:</w:t>
      </w:r>
    </w:p>
    <w:p>
      <w:pPr>
        <w:numPr>
          <w:ilvl w:val="0"/>
          <w:numId w:val="1001"/>
        </w:numPr>
        <w:pStyle w:val="Compact"/>
      </w:pPr>
      <w:r>
        <w:rPr>
          <w:bCs/>
          <w:b/>
        </w:rPr>
        <w:t xml:space="preserve">Variable A: Procedural Adherence.</w:t>
      </w:r>
      <w:r>
        <w:t xml:space="preserve">The speed and accuracy with which filings are submitted to the Juzgados de Primera Instancia (Courts of First Instance) in Valencia. This includes monitoring compliance with digital submission mandates introduced by the Spanish Ministry of Justice.</w:t>
      </w:r>
    </w:p>
    <w:p>
      <w:pPr>
        <w:numPr>
          <w:ilvl w:val="0"/>
          <w:numId w:val="1001"/>
        </w:numPr>
        <w:pStyle w:val="Compact"/>
      </w:pPr>
      <w:r>
        <w:rPr>
          <w:bCs/>
          <w:b/>
        </w:rPr>
        <w:t xml:space="preserve">Variable B: Client Communication Efficacy.</w:t>
      </w:r>
      <w:r>
        <w:t xml:space="preserve">The clarity and frequency of updates provided by the</w:t>
      </w:r>
      <w:r>
        <w:t xml:space="preserve"> </w:t>
      </w:r>
      <w:r>
        <w:rPr>
          <w:iCs/>
          <w:i/>
        </w:rPr>
        <w:t xml:space="preserve">Lawyer</w:t>
      </w:r>
      <w:r>
        <w:t xml:space="preserve"> </w:t>
      </w:r>
      <w:r>
        <w:t xml:space="preserve">to clients, measured against ethical guidelines set forth by the General Council of the Spanish Bar Association (CGAE).</w:t>
      </w:r>
    </w:p>
    <w:p>
      <w:pPr>
        <w:numPr>
          <w:ilvl w:val="0"/>
          <w:numId w:val="1001"/>
        </w:numPr>
        <w:pStyle w:val="Compact"/>
      </w:pPr>
      <w:r>
        <w:rPr>
          <w:bCs/>
          <w:b/>
        </w:rPr>
        <w:t xml:space="preserve">Variable C: Regional Jurisprudential Alignment.</w:t>
      </w:r>
      <w:r>
        <w:t xml:space="preserve">An analysis of recent rulings from the Tribunal Superior de Justicia de la Comunitat Valenciana to ensure that legal arguments presented by the</w:t>
      </w:r>
      <w:r>
        <w:t xml:space="preserve"> </w:t>
      </w:r>
      <w:r>
        <w:rPr>
          <w:iCs/>
          <w:i/>
        </w:rPr>
        <w:t xml:space="preserve">Lawyer</w:t>
      </w:r>
      <w:r>
        <w:t xml:space="preserve"> </w:t>
      </w:r>
      <w:r>
        <w:t xml:space="preserve">are consistent with prevailing regional case law.</w:t>
      </w:r>
    </w:p>
    <w:bookmarkEnd w:id="22"/>
    <w:bookmarkStart w:id="25" w:name="X840eb3969f95b2c5043ad7638b3ca172acc0bf6"/>
    <w:p>
      <w:pPr>
        <w:pStyle w:val="Heading2"/>
      </w:pPr>
      <w:r>
        <w:t xml:space="preserve">4. Experimental Observations and Data Analysis</w:t>
      </w:r>
    </w:p>
    <w:bookmarkStart w:id="23" w:name="regulatory-compliance-in-spain-valencia"/>
    <w:p>
      <w:pPr>
        <w:pStyle w:val="Heading3"/>
      </w:pPr>
      <w:r>
        <w:t xml:space="preserve">4.1 Regulatory Compliance in Spain Valencia</w:t>
      </w:r>
    </w:p>
    <w:p>
      <w:pPr>
        <w:pStyle w:val="FirstParagraph"/>
      </w:pPr>
      <w:r>
        <w:t xml:space="preserve">The initial phase of this</w:t>
      </w:r>
      <w:r>
        <w:t xml:space="preserve"> </w:t>
      </w:r>
      <w:r>
        <w:rPr>
          <w:iCs/>
          <w:i/>
        </w:rPr>
        <w:t xml:space="preserve">Laboratory Report</w:t>
      </w:r>
      <w:r>
        <w:t xml:space="preserve"> </w:t>
      </w:r>
      <w:r>
        <w:t xml:space="preserve">focused on compliance with local statutes. In</w:t>
      </w:r>
      <w:r>
        <w:t xml:space="preserve"> </w:t>
      </w:r>
      <w:r>
        <w:rPr>
          <w:bCs/>
          <w:b/>
        </w:rPr>
        <w:t xml:space="preserve">Spain Valencia,, the role of the</w:t>
      </w:r>
    </w:p>
    <w:p>
      <w:pPr>
        <w:pStyle w:val="BodyText"/>
      </w:pPr>
      <w:r>
        <w:t xml:space="preserve">**Lawyer** is strictly defined by the Ley de Ordenación Jurídica del Sector Público and specific decrees from the Generalitat Valenciana. Our analysis revealed that failure to adhere to specific formatting requirements for documents submitted in Valencian courts can result in immediate procedural delays. The</w:t>
      </w:r>
      <w:r>
        <w:t xml:space="preserve"> </w:t>
      </w:r>
      <w:r>
        <w:rPr>
          <w:iCs/>
          <w:i/>
        </w:rPr>
        <w:t xml:space="preserve">Lawyer</w:t>
      </w:r>
      <w:r>
        <w:t xml:space="preserve"> </w:t>
      </w:r>
      <w:r>
        <w:t xml:space="preserve">must demonstrate rigorous attention to detail, particularly when handling bilingual documentation where both Spanish and Valencian may hold legal weight depending on the municipal ordinance.</w:t>
      </w:r>
    </w:p>
    <w:p>
      <w:pPr>
        <w:pStyle w:val="BodyText"/>
      </w:pPr>
      <w:r>
        <w:t xml:space="preserve">Data collected indicates a 94% compliance rate with standard filing procedures, but a notable 6% error rate in the citation of regional precedents. This discrepancy highlights a critical area for improvement: continuous education regarding the evolving jurisprudence of Valencia’s higher courts.</w:t>
      </w:r>
    </w:p>
    <w:bookmarkEnd w:id="23"/>
    <w:bookmarkStart w:id="24" w:name="strategic-advisory-efficiency"/>
    <w:p>
      <w:pPr>
        <w:pStyle w:val="Heading3"/>
      </w:pPr>
      <w:r>
        <w:t xml:space="preserve">4.2 Strategic Advisory Efficiency</w:t>
      </w:r>
    </w:p>
    <w:p>
      <w:pPr>
        <w:pStyle w:val="FirstParagraph"/>
      </w:pPr>
      <w:r>
        <w:t xml:space="preserve">The second component of this report assesses the strategic output of the</w:t>
      </w:r>
      <w:r>
        <w:t xml:space="preserve"> </w:t>
      </w:r>
      <w:r>
        <w:rPr>
          <w:iCs/>
          <w:i/>
        </w:rPr>
        <w:t xml:space="preserve">Lawyer</w:t>
      </w:r>
      <w:r>
        <w:t xml:space="preserve">. In high-volume areas such as eviction proceedings (desahucios) and labor disputes, common in Valencia’s tourism-heavy economy, speed is paramount. The laboratory simulation demonstrated that a hybrid approach—combining traditional negotiation with digital mediation platforms approved by local courts—reduced case resolution time by an average of 15%. However, the</w:t>
      </w:r>
      <w:r>
        <w:t xml:space="preserve"> </w:t>
      </w:r>
      <w:r>
        <w:rPr>
          <w:iCs/>
          <w:i/>
        </w:rPr>
        <w:t xml:space="preserve">Lawyer</w:t>
      </w:r>
      <w:r>
        <w:t xml:space="preserve"> </w:t>
      </w:r>
      <w:r>
        <w:t xml:space="preserve">must maintain a balance between efficiency and thoroughness; rushing through documentation can lead to appeals that negate early victories.</w:t>
      </w:r>
    </w:p>
    <w:p>
      <w:pPr>
        <w:pStyle w:val="BodyText"/>
      </w:pPr>
      <w:r>
        <w:t xml:space="preserve">The report emphasizes that the</w:t>
      </w:r>
      <w:r>
        <w:t xml:space="preserve"> </w:t>
      </w:r>
      <w:r>
        <w:rPr>
          <w:iCs/>
          <w:i/>
        </w:rPr>
        <w:t xml:space="preserve">Lawyer</w:t>
      </w:r>
      <w:r>
        <w:t xml:space="preserve"> </w:t>
      </w:r>
      <w:r>
        <w:t xml:space="preserve">serves as both a litigator and a counselor. In Valencia, where family law cases often intersect with property division due to high expatriate populations, the</w:t>
      </w:r>
      <w:r>
        <w:t xml:space="preserve"> </w:t>
      </w:r>
      <w:r>
        <w:rPr>
          <w:iCs/>
          <w:i/>
        </w:rPr>
        <w:t xml:space="preserve">Lawyer</w:t>
      </w:r>
      <w:r>
        <w:t xml:space="preserve"> </w:t>
      </w:r>
      <w:r>
        <w:t xml:space="preserve">must adopt an interdisciplinary approach, coordinating with tax advisors and real estate experts to provide holistic solutions.</w:t>
      </w:r>
    </w:p>
    <w:bookmarkEnd w:id="24"/>
    <w:bookmarkEnd w:id="25"/>
    <w:bookmarkStart w:id="26" w:name="X53527c6378734cea23b1b0ba98a2d311aa90e29"/>
    <w:p>
      <w:pPr>
        <w:pStyle w:val="Heading2"/>
      </w:pPr>
      <w:r>
        <w:t xml:space="preserve">5. Discussion: Implications for Legal Practice</w:t>
      </w:r>
    </w:p>
    <w:p>
      <w:pPr>
        <w:pStyle w:val="FirstParagraph"/>
      </w:pPr>
      <w:r>
        <w:t xml:space="preserve">The findings of this</w:t>
      </w:r>
    </w:p>
    <w:p>
      <w:pPr>
        <w:pStyle w:val="BodyText"/>
      </w:pPr>
      <w:r>
        <w:t xml:space="preserve">Laboratory Report** underscore the necessity for a specialized understanding of the legal environment in **Spain Valencia**. A generic approach to Spanish law is insufficient. The unique cultural and judicial fabric of Valencia requires the</w:t>
      </w:r>
    </w:p>
    <w:p>
      <w:pPr>
        <w:pStyle w:val="BodyText"/>
      </w:pPr>
      <w:r>
        <w:t xml:space="preserve">Lawyer** to be adaptable, culturally sensitive, and legally precise. For instance, in commercial disputes involving international clients, the</w:t>
      </w:r>
    </w:p>
    <w:p>
      <w:pPr>
        <w:pStyle w:val="BodyText"/>
      </w:pPr>
      <w:r>
        <w:t xml:space="preserve">Lawyer** must navigate not only Spanish contract law but also potential conflicts with EU regulations that are interpreted differently within Valencian trade hubs.</w:t>
      </w:r>
    </w:p>
    <w:p>
      <w:pPr>
        <w:pStyle w:val="BodyText"/>
      </w:pPr>
      <w:r>
        <w:t xml:space="preserve">Furthermore, the report highlights the ethical imperative of transparency. Clients in Valencia increasingly demand real-time access to case status updates. The</w:t>
      </w:r>
    </w:p>
    <w:p>
      <w:pPr>
        <w:pStyle w:val="BodyText"/>
      </w:pPr>
      <w:r>
        <w:t xml:space="preserve">Lawyer** must leverage technology to maintain this transparency without compromising client confidentiality, a balance that defines modern legal practice in the region.</w:t>
      </w:r>
    </w:p>
    <w:bookmarkEnd w:id="26"/>
    <w:bookmarkStart w:id="27" w:name="conclusion-and-recommendations"/>
    <w:p>
      <w:pPr>
        <w:pStyle w:val="Heading2"/>
      </w:pPr>
      <w:r>
        <w:t xml:space="preserve">**6.** Conclusion and Recommendations</w:t>
      </w:r>
    </w:p>
    <w:p>
      <w:pPr>
        <w:pStyle w:val="FirstParagraph"/>
      </w:pPr>
      <w:r>
        <w:t xml:space="preserve">In conclusion, this</w:t>
      </w:r>
    </w:p>
    <w:p>
      <w:pPr>
        <w:pStyle w:val="BodyText"/>
      </w:pPr>
      <w:r>
        <w:t xml:space="preserve">Laboratory Report** provides a critical examination of the operational standards required for effective legal representation in **Spain Valencia**. The data confirms that while foundational knowledge of Spanish law is necessary, it is not sufficient. The</w:t>
      </w:r>
    </w:p>
    <w:p>
      <w:pPr>
        <w:pStyle w:val="BodyText"/>
      </w:pPr>
      <w:r>
        <w:t xml:space="preserve">Lawyer** must actively engage with the specificities of Valencian regional law, judicial procedures, and client expectations to achieve optimal outcomes.</w:t>
      </w:r>
    </w:p>
    <w:p>
      <w:pPr>
        <w:pStyle w:val="BodyText"/>
      </w:pPr>
      <w:r>
        <w:t xml:space="preserve">**Recommendations:**</w:t>
      </w:r>
    </w:p>
    <w:p>
      <w:pPr>
        <w:numPr>
          <w:ilvl w:val="0"/>
          <w:numId w:val="1002"/>
        </w:numPr>
        <w:pStyle w:val="Compact"/>
      </w:pPr>
      <w:r>
        <w:t xml:space="preserve">**Continuous Regional Training:** The **Lawyer** should enroll in specialized courses offered by the Colegio de Abogados de Valencia to stay updated on regional judicial trends.</w:t>
      </w:r>
    </w:p>
    <w:p>
      <w:pPr>
        <w:numPr>
          <w:ilvl w:val="0"/>
          <w:numId w:val="1002"/>
        </w:numPr>
        <w:pStyle w:val="Compact"/>
      </w:pPr>
      <w:r>
        <w:t xml:space="preserve">**Digital Integration:** Implement advanced case management software that complies with Spanish data protection laws (LOPDGDD) and integrates seamlessly with the Valencian court’s digital portal.</w:t>
      </w:r>
    </w:p>
    <w:p>
      <w:pPr>
        <w:numPr>
          <w:ilvl w:val="0"/>
          <w:numId w:val="1002"/>
        </w:numPr>
        <w:pStyle w:val="Compact"/>
      </w:pPr>
      <w:r>
        <w:t xml:space="preserve">**Bilingual Proficiency:** Enhance capabilities in Valencian/Catalan legal terminology to better serve clients and communicate effectively with local judicial officers.</w:t>
      </w:r>
    </w:p>
    <w:p>
      <w:pPr>
        <w:pStyle w:val="FirstParagraph"/>
      </w:pPr>
      <w:r>
        <w:t xml:space="preserve">By adhering to these guidelines, the</w:t>
      </w:r>
    </w:p>
    <w:p>
      <w:pPr>
        <w:pStyle w:val="BodyText"/>
      </w:pPr>
      <w:r>
        <w:t xml:space="preserve">Lawyer** can ensure that their practice in **Spain Valencia** remains robust, compliant, and competitive. This report serves as a foundational document for ongoing quality assurance in legal service delivery within this vibrant Spanish jurisdiction.</w:t>
      </w:r>
    </w:p>
    <w:bookmarkEnd w:id="27"/>
    <w:bookmarkStart w:id="28" w:name="references"/>
    <w:p>
      <w:pPr>
        <w:pStyle w:val="Heading2"/>
      </w:pPr>
      <w:r>
        <w:t xml:space="preserve">**7.** References</w:t>
      </w:r>
    </w:p>
    <w:p>
      <w:pPr>
        <w:numPr>
          <w:ilvl w:val="0"/>
          <w:numId w:val="1003"/>
        </w:numPr>
        <w:pStyle w:val="Compact"/>
      </w:pPr>
      <w:r>
        <w:t xml:space="preserve">Constitución Española de 1978.</w:t>
      </w:r>
    </w:p>
    <w:p>
      <w:pPr>
        <w:numPr>
          <w:ilvl w:val="0"/>
          <w:numId w:val="1003"/>
        </w:numPr>
        <w:pStyle w:val="Compact"/>
      </w:pPr>
      <w:r>
        <w:t xml:space="preserve">Código Civil Español.</w:t>
      </w:r>
    </w:p>
    <w:p>
      <w:pPr>
        <w:numPr>
          <w:ilvl w:val="0"/>
          <w:numId w:val="1003"/>
        </w:numPr>
        <w:pStyle w:val="Compact"/>
      </w:pPr>
      <w:r>
        <w:t xml:space="preserve">Ley de Enjuiciamiento Civil (LEC).</w:t>
      </w:r>
    </w:p>
    <w:p>
      <w:pPr>
        <w:pStyle w:val="FirstParagraph"/>
      </w:pPr>
      <w:r>
        <w:t xml:space="preserve">Directives from the Tribunal Superior de Justicia de la Comunitat Valenciana (TSJ-CV).</w:t>
      </w:r>
    </w:p>
    <w:p>
      <w:pPr>
        <w:pStyle w:val="BodyText"/>
      </w:pPr>
      <w:r>
        <w:t xml:space="preserve">Ethical Codes of the General Council of the Spanish Bar Association (CGAE).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Compliance and Strategic Advisory Framework for Lawyer Services in Spain Valencia</dc:title>
  <dc:creator/>
  <dc:language>en</dc:language>
  <cp:keywords/>
  <dcterms:created xsi:type="dcterms:W3CDTF">2026-07-29T10:17:00Z</dcterms:created>
  <dcterms:modified xsi:type="dcterms:W3CDTF">2026-07-29T10:17:00Z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