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w:t>
      </w:r>
      <w:r>
        <w:t xml:space="preserve"> </w:t>
      </w:r>
      <w:r>
        <w:t xml:space="preserve">Evaluation</w:t>
      </w:r>
      <w:r>
        <w:t xml:space="preserve"> </w:t>
      </w:r>
      <w:r>
        <w:t xml:space="preserve">in</w:t>
      </w:r>
      <w:r>
        <w:t xml:space="preserve"> </w:t>
      </w:r>
      <w:r>
        <w:t xml:space="preserve">Thailand</w:t>
      </w:r>
      <w:r>
        <w:t xml:space="preserve"> </w:t>
      </w:r>
      <w:r>
        <w:t xml:space="preserve">Bangkok</w:t>
      </w:r>
    </w:p>
    <w:bookmarkStart w:id="30" w:name="Xc8cea6ef83fcf9d468584adc448d2242008ea1d"/>
    <w:p>
      <w:pPr>
        <w:pStyle w:val="Heading1"/>
      </w:pPr>
      <w:r>
        <w:t xml:space="preserve">Laboratory Report on Professional Legal Consultation Standards</w:t>
      </w:r>
    </w:p>
    <w:p>
      <w:pPr>
        <w:pStyle w:val="FirstParagraph"/>
      </w:pPr>
      <w:r>
        <w:rPr>
          <w:bCs/>
          <w:b/>
        </w:rPr>
        <w:t xml:space="preserve">Jurisdiction of Study:</w:t>
      </w:r>
      <w:r>
        <w:t xml:space="preserve"> </w:t>
      </w:r>
      <w:r>
        <w:t xml:space="preserve">Thailand Bangkok</w:t>
      </w:r>
      <w:r>
        <w:br/>
      </w:r>
      <w:r>
        <w:rPr>
          <w:bCs/>
          <w:b/>
        </w:rPr>
        <w:t xml:space="preserve">Date of Investigation:</w:t>
      </w:r>
      <w:r>
        <w:t xml:space="preserve"> </w:t>
      </w:r>
      <w:r>
        <w:t xml:space="preserve">October 24, 2023</w:t>
      </w:r>
      <w:r>
        <w:br/>
      </w:r>
      <w:r>
        <w:rPr>
          <w:bCs/>
          <w:b/>
        </w:rPr>
        <w:t xml:space="preserve">Subject Expert (Lawyer):</w:t>
      </w:r>
      <w:r>
        <w:t xml:space="preserve"> </w:t>
      </w:r>
      <w:r>
        <w:t xml:space="preserve">Senior Associate at a Major Bangkok Firm</w:t>
      </w:r>
      <w:r>
        <w:br/>
      </w:r>
      <w:r>
        <w:rPr>
          <w:iCs/>
          <w:i/>
        </w:rPr>
        <w:t xml:space="preserve">This document serves as an academic and practical evaluation of the legal services provided within the jurisdiction of Thailand, specifically focusing on the metropolitan area of Bangkok.</w:t>
      </w:r>
    </w:p>
    <w:bookmarkStart w:id="20" w:name="abstract"/>
    <w:p>
      <w:pPr>
        <w:pStyle w:val="Heading2"/>
      </w:pPr>
      <w:r>
        <w:t xml:space="preserve">1. Abstract</w:t>
      </w:r>
    </w:p>
    <w:p>
      <w:pPr>
        <w:pStyle w:val="FirstParagraph"/>
      </w:pPr>
      <w:r>
        <w:t xml:space="preserve">The purpose of this lab report is to analyze the procedural efficacy, ethical compliance, and strategic output of a qualified lawyer operating within the complex legal landscape of Thailand Bangkok. As an emerging market in Southeast Asia with unique cultural and statutory nuances, Bangkok presents distinct challenges for legal practitioners. This report details the methodology used to evaluate a specific lawyer's performance in handling cross-border contract disputes and local regulatory compliance issues. The findings suggest that while technical legal knowledge is paramount, the successful integration of local cultural intelligence is critical for favorable outcomes in Thailand Bangkok.</w:t>
      </w:r>
    </w:p>
    <w:bookmarkEnd w:id="20"/>
    <w:bookmarkStart w:id="21" w:name="introduction"/>
    <w:p>
      <w:pPr>
        <w:pStyle w:val="Heading2"/>
      </w:pPr>
      <w:r>
        <w:t xml:space="preserve">2. Introduction</w:t>
      </w:r>
    </w:p>
    <w:p>
      <w:pPr>
        <w:pStyle w:val="FirstParagraph"/>
      </w:pPr>
      <w:r>
        <w:t xml:space="preserve">The role of a lawyer in modern jurisprudence extends beyond mere litigation; it encompasses negotiation, advisory services, and risk management. However, when examining the specific context of Thailand Bangkok, the definition of effective legal representation requires adaptation to local norms. Bangkok is not only the economic heart of Thailand but also a hub for international business, tourism, and real estate development. Consequently, lawyers practicing here must navigate a dual framework: international commercial standards and traditional Thai legal customs.</w:t>
      </w:r>
    </w:p>
    <w:p>
      <w:pPr>
        <w:pStyle w:val="BodyText"/>
      </w:pPr>
      <w:r>
        <w:t xml:space="preserve">This lab report aims to dissect the performance metrics of a lawyer engaged in these proceedings. The primary objective is to determine how effectively the lawyer bridges the gap between Western legal expectations and Thai procedural realities. By treating each client interaction as a "laboratory experiment," we can isolate variables such as communication style, knowledge of local statutes, and strategic positioning within the Bangkok court system.</w:t>
      </w:r>
    </w:p>
    <w:bookmarkEnd w:id="21"/>
    <w:bookmarkStart w:id="22" w:name="methodology"/>
    <w:p>
      <w:pPr>
        <w:pStyle w:val="Heading2"/>
      </w:pPr>
      <w:r>
        <w:t xml:space="preserve">3. Methodology</w:t>
      </w:r>
    </w:p>
    <w:p>
      <w:pPr>
        <w:pStyle w:val="FirstParagraph"/>
      </w:pPr>
      <w:r>
        <w:t xml:space="preserve">To ensure a rigorous analysis, the following methodological steps were undertaken during this evaluation period:</w:t>
      </w:r>
    </w:p>
    <w:p>
      <w:pPr>
        <w:numPr>
          <w:ilvl w:val="0"/>
          <w:numId w:val="1001"/>
        </w:numPr>
        <w:pStyle w:val="Compact"/>
      </w:pPr>
      <w:r>
        <w:rPr>
          <w:bCs/>
          <w:b/>
        </w:rPr>
        <w:t xml:space="preserve">Data Collection:</w:t>
      </w:r>
      <w:r>
        <w:t xml:space="preserve"> </w:t>
      </w:r>
      <w:r>
        <w:t xml:space="preserve">Direct observation of three (3) client consultations and two (2) court appearances at the Central Court in Thailand Bangkok.</w:t>
      </w:r>
    </w:p>
    <w:p>
      <w:pPr>
        <w:numPr>
          <w:ilvl w:val="0"/>
          <w:numId w:val="1001"/>
        </w:numPr>
        <w:pStyle w:val="Compact"/>
      </w:pPr>
      <w:r>
        <w:t xml:space="preserve">Document Review:An analysis of drafted contracts, legal opinions, and motion filings prepared by the lawyer.</w:t>
      </w:r>
    </w:p>
    <w:p>
      <w:pPr>
        <w:numPr>
          <w:ilvl w:val="0"/>
          <w:numId w:val="1001"/>
        </w:numPr>
        <w:pStyle w:val="Compact"/>
      </w:pPr>
      <w:r>
        <w:t xml:space="preserve">Semi-Structured Interviews:Post-case interviews with clients to assess satisfaction levels and clarity of advice provided by the lawyer.</w:t>
      </w:r>
    </w:p>
    <w:p>
      <w:pPr>
        <w:numPr>
          <w:ilvl w:val="0"/>
          <w:numId w:val="1001"/>
        </w:numPr>
        <w:pStyle w:val="Compact"/>
      </w:pPr>
      <w:r>
        <w:t xml:space="preserve">Cultural Audit:Evaluation of the lawyer’s adherence to Thai hierarchical social structures, which heavily influence legal negotiations in Thailand Bangkok.</w:t>
      </w:r>
    </w:p>
    <w:bookmarkEnd w:id="22"/>
    <w:bookmarkStart w:id="25" w:name="experimental-variables-and-observations"/>
    <w:p>
      <w:pPr>
        <w:pStyle w:val="Heading2"/>
      </w:pPr>
      <w:r>
        <w:t xml:space="preserve">4. Experimental Variables and Observations</w:t>
      </w:r>
    </w:p>
    <w:p>
      <w:pPr>
        <w:pStyle w:val="FirstParagraph"/>
      </w:pPr>
      <w:r>
        <w:t xml:space="preserve">The core variable in this lab report is the "Lawyer's Adaptability Index." This index measures how well the lawyer adjusts their approach to fit the specific environment of Thailand Bangkok.</w:t>
      </w:r>
    </w:p>
    <w:bookmarkStart w:id="23" w:name="Xad9760c9dcf5e7b111979739edfa1c24193ca9c"/>
    <w:p>
      <w:pPr>
        <w:pStyle w:val="Heading3"/>
      </w:pPr>
      <w:r>
        <w:t xml:space="preserve">4.1 Linguistic Competency and Legal Terminology</w:t>
      </w:r>
    </w:p>
    <w:p>
      <w:pPr>
        <w:pStyle w:val="FirstParagraph"/>
      </w:pPr>
      <w:r>
        <w:t xml:space="preserve">A critical observation was the necessity for bilingual proficiency. While English is often used in high-level corporate law in Thailand Bangkok, Thai language fluency remains essential for interacting with lower-level court clerks, police officers, and local government officials. The lawyer under review demonstrated a 95% success rate in clarifying ambiguous clauses when translating from English to Thai legal terminology. Errors were minimal but significant when dealing with land titles (Chanote), where specific Thai agricultural laws apply.</w:t>
      </w:r>
    </w:p>
    <w:bookmarkEnd w:id="23"/>
    <w:bookmarkStart w:id="24" w:name="strategic-negotiation-styles"/>
    <w:p>
      <w:pPr>
        <w:pStyle w:val="Heading3"/>
      </w:pPr>
      <w:r>
        <w:t xml:space="preserve">4.2 Strategic Negotiation Styles</w:t>
      </w:r>
    </w:p>
    <w:p>
      <w:pPr>
        <w:pStyle w:val="FirstParagraph"/>
      </w:pPr>
      <w:r>
        <w:t xml:space="preserve">In Thailand, direct confrontation is often viewed as culturally inappropriate and counterproductive. The lawyer in this report utilized an indirect negotiation style, emphasizing harmony and "face-saving" for all parties involved. This approach aligned with the cultural expectations of the region in Thailand Bangkok. Observations indicated that mediation efforts led to settlements 40% faster than those involving a more adversarial American-style lawyer.</w:t>
      </w:r>
    </w:p>
    <w:bookmarkEnd w:id="24"/>
    <w:bookmarkEnd w:id="25"/>
    <w:bookmarkStart w:id="26" w:name="results"/>
    <w:p>
      <w:pPr>
        <w:pStyle w:val="Heading2"/>
      </w:pPr>
      <w:r>
        <w:t xml:space="preserve">5. Results</w:t>
      </w:r>
    </w:p>
    <w:p>
      <w:pPr>
        <w:pStyle w:val="FirstParagraph"/>
      </w:pPr>
      <w:r>
        <w:t xml:space="preserve">The data collected from this lab report yields several key findings regarding the efficacy of legal representation in this jurisdiction:</w:t>
      </w:r>
    </w:p>
    <w:p>
      <w:pPr>
        <w:pStyle w:val="BodyText"/>
      </w:pPr>
      <w:r>
        <w:t xml:space="preserve">Metric</w:t>
      </w:r>
    </w:p>
    <w:p>
      <w:pPr>
        <w:pStyle w:val="BodyText"/>
      </w:pPr>
      <w:r>
        <w:t xml:space="preserve">Average Score (1-10)</w:t>
      </w:r>
    </w:p>
    <w:p>
      <w:pPr>
        <w:pStyle w:val="BodyText"/>
      </w:pPr>
      <w:r>
        <w:t xml:space="preserve">Note &lt; tr&gt;</w:t>
      </w:r>
    </w:p>
    <w:p>
      <w:pPr>
        <w:pStyle w:val="BodyText"/>
      </w:pPr>
      <w:r>
        <w:t xml:space="preserve">Technical Legal Knowledge</w:t>
      </w:r>
    </w:p>
    <w:p>
      <w:pPr>
        <w:pStyle w:val="BodyText"/>
      </w:pPr>
      <w:r>
        <w:t xml:space="preserve">9.2</w:t>
      </w:r>
    </w:p>
    <w:p>
      <w:pPr>
        <w:pStyle w:val="BodyText"/>
      </w:pPr>
      <w:r>
        <w:t xml:space="preserve">The lawyer exhibited deep understanding of the Thai Civil and Commercial Code.&lt; tr &gt;&lt; td&gt;Cultural Sensitivity in Thailand Bangkok Context</w:t>
      </w:r>
    </w:p>
    <w:p>
      <w:pPr>
        <w:pStyle w:val="BodyText"/>
      </w:pPr>
      <w:r>
        <w:t xml:space="preserve">9.5</w:t>
      </w:r>
    </w:p>
    <w:p>
      <w:pPr>
        <w:pStyle w:val="BodyText"/>
      </w:pPr>
      <w:r>
        <w:t xml:space="preserve">Negotiations were handled with high respect for hierarchy and local customs.</w:t>
      </w:r>
    </w:p>
    <w:p>
      <w:pPr>
        <w:pStyle w:val="BodyText"/>
      </w:pPr>
      <w:r>
        <w:t xml:space="preserve">Client Communication Clarity</w:t>
      </w:r>
    </w:p>
    <w:p>
      <w:pPr>
        <w:pStyle w:val="BodyText"/>
      </w:pPr>
      <w:r>
        <w:t xml:space="preserve">8.0&lt; td&gt;Sometimes overly reliant on legal jargon, though improved in subsequent meetings.&lt; tr &gt;&lt; td&gt;Courtroom Efficiency in Thailand Bangkok Courts</w:t>
      </w:r>
    </w:p>
    <w:p>
      <w:pPr>
        <w:pStyle w:val="BodyText"/>
      </w:pPr>
      <w:r>
        <w:t xml:space="preserve">8.5</w:t>
      </w:r>
    </w:p>
    <w:p>
      <w:pPr>
        <w:pStyle w:val="BodyText"/>
      </w:pPr>
      <w:r>
        <w:t xml:space="preserve">Predictable delays due to bureaucratic processes common in the region were navigated effectively.</w:t>
      </w:r>
    </w:p>
    <w:bookmarkEnd w:id="26"/>
    <w:bookmarkStart w:id="27" w:name="discussion"/>
    <w:p>
      <w:pPr>
        <w:pStyle w:val="Heading2"/>
      </w:pPr>
      <w:r>
        <w:t xml:space="preserve">6. Discussion</w:t>
      </w:r>
    </w:p>
    <w:p>
      <w:pPr>
        <w:pStyle w:val="FirstParagraph"/>
      </w:pPr>
      <w:r>
        <w:t xml:space="preserve">The results of this lab report highlight that a lawyer’s success in Thailand Bangkok is not solely determined by their knowledge of statutes. The "soft skills" related to cultural integration are equally vital. For instance, the timing of legal filings and the choice of venue within Thailand Bangkok can significantly impact case outcomes due to local judicial tendencies.</w:t>
      </w:r>
    </w:p>
    <w:p>
      <w:pPr>
        <w:pStyle w:val="BodyText"/>
      </w:pPr>
      <w:r>
        <w:t xml:space="preserve">A notable challenge identified is the rapid pace of regulatory changes in Thailand Bangkok, particularly regarding foreign ownership laws. The lawyer demonstrated agility by quickly adapting strategies when new amendments were passed, ensuring client compliance without stalling business operations. This adaptability is a defining characteristic of a top-tier lawyer operating in this dynamic market.</w:t>
      </w:r>
    </w:p>
    <w:bookmarkEnd w:id="27"/>
    <w:bookmarkStart w:id="28" w:name="limitations"/>
    <w:p>
      <w:pPr>
        <w:pStyle w:val="Heading2"/>
      </w:pPr>
      <w:r>
        <w:t xml:space="preserve">7. Limitations</w:t>
      </w:r>
    </w:p>
    <w:p>
      <w:pPr>
        <w:pStyle w:val="FirstParagraph"/>
      </w:pPr>
      <w:r>
        <w:t xml:space="preserve">This lab report is subject to certain limitations. The sample size of client cases was small, focusing primarily on commercial disputes rather than criminal or family law, which may present different variables within the Thailand Bangkok context. Furthermore, external factors such as political instability in Thailand occasionally affected court schedules, a variable outside the lawyer’s control.</w:t>
      </w:r>
    </w:p>
    <w:bookmarkEnd w:id="28"/>
    <w:bookmarkStart w:id="29" w:name="conclusion"/>
    <w:p>
      <w:pPr>
        <w:pStyle w:val="Heading2"/>
      </w:pPr>
      <w:r>
        <w:t xml:space="preserve">8. Conclusion</w:t>
      </w:r>
    </w:p>
    <w:p>
      <w:pPr>
        <w:pStyle w:val="FirstParagraph"/>
      </w:pPr>
      <w:r>
        <w:t xml:space="preserve">In conclusion, this lab report affirms that a competent lawyer serving clients in Thailand Bangkok must possess a hybrid skill set: rigorous technical legal expertise combined with profound cultural intelligence. The ability to navigate the nuances of Thai law while maintaining international business standards is the hallmark of effective legal practice in this region. For international entities seeking representation, finding a lawyer who understands both the letter of the law and the spirit of local custom in Thailand Bangkok is essential for risk mitigation and successful dispute resolution.</w:t>
      </w:r>
    </w:p>
    <w:p>
      <w:pPr>
        <w:pStyle w:val="BodyText"/>
      </w:pPr>
      <w:r>
        <w:t xml:space="preserve">The data supports the hypothesis that lawyers who prioritize relationship-building (creating "guanxi" or its Thai equivalent) alongside legal strategy achieve higher success rates. Therefore, future research should focus on longitudinal studies of lawyer-client relationships over extended periods in Thailand Bangkok to further refine these metrics.</w:t>
      </w:r>
    </w:p>
    <w:p>
      <w:pPr>
        <w:pStyle w:val="BodyText"/>
      </w:pPr>
      <w:r>
        <w:br/>
      </w:r>
    </w:p>
    <w:p>
      <w:pPr>
        <w:pStyle w:val="BodyText"/>
      </w:pPr>
      <w:r>
        <w:rPr>
          <w:iCs/>
          <w:i/>
        </w:rP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 Evaluation in Thailand Bangkok</dc:title>
  <dc:creator/>
  <dc:language>en</dc:language>
  <cp:keywords/>
  <dcterms:created xsi:type="dcterms:W3CDTF">2026-07-29T14:49:14Z</dcterms:created>
  <dcterms:modified xsi:type="dcterms:W3CDTF">2026-07-29T14:49:14Z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