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Legal</w:t>
      </w:r>
      <w:r>
        <w:t xml:space="preserve"> </w:t>
      </w:r>
      <w:r>
        <w:t xml:space="preserve">Representation</w:t>
      </w:r>
      <w:r>
        <w:t xml:space="preserve"> </w:t>
      </w:r>
      <w:r>
        <w:t xml:space="preserve">and</w:t>
      </w:r>
      <w:r>
        <w:t xml:space="preserve"> </w:t>
      </w:r>
      <w:r>
        <w:t xml:space="preserve">Advocacy</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0" w:name="Xe83dd3f777cc913d661cd1142ed60a1d5c63a0b"/>
    <w:p>
      <w:pPr>
        <w:pStyle w:val="Heading1"/>
      </w:pPr>
      <w:r>
        <w:t xml:space="preserve">Laboratory Report on Legal Advocacy and Professional Competence</w:t>
      </w:r>
      <w:r>
        <w:br/>
      </w:r>
      <w:r>
        <w:t xml:space="preserve">A Case Study of the Lawyer in United Kingdom Birmingham</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Analysis of Legal Service Delivery, Regulatory Compliance, and Strategic Advocacy within the West Midlands Jurisdiction.</w:t>
      </w:r>
    </w:p>
    <w:p>
      <w:pPr>
        <w:pStyle w:val="BodyText"/>
      </w:pPr>
      <w:r>
        <w:rPr>
          <w:bCs/>
          <w:b/>
        </w:rPr>
        <w:t xml:space="preserve">Codianalysis Unit:</w:t>
      </w:r>
      <w:r>
        <w:t xml:space="preserve"> </w:t>
      </w:r>
      <w:r>
        <w:t xml:space="preserve">Department of Jurisprudence and Regional Legal Studies</w:t>
      </w:r>
    </w:p>
    <w:bookmarkStart w:id="20" w:name="X8dc057d3346e56aed7cf252185dbe1fa6454411"/>
    <w:p>
      <w:pPr>
        <w:pStyle w:val="Heading2"/>
      </w:pPr>
      <w:r>
        <w:t xml:space="preserve">1.0 Introduction</w:t>
      </w:r>
    </w:p>
    <w:p>
      <w:pPr>
        <w:pStyle w:val="FirstParagraph"/>
      </w:pPr>
      <w:r>
        <w:t xml:space="preserve">This laboratory report aims to dissect the multifaceted role of a qualified</w:t>
      </w:r>
      <w:r>
        <w:t xml:space="preserve"> </w:t>
      </w:r>
      <w:r>
        <w:rPr>
          <w:bCs/>
          <w:b/>
        </w:rPr>
        <w:t xml:space="preserve">Lawyer</w:t>
      </w:r>
      <w:r>
        <w:t xml:space="preserve">, operating specifically within the unique socio-legal and judicial environment of</w:t>
      </w:r>
      <w:r>
        <w:t xml:space="preserve"> </w:t>
      </w:r>
      <w:r>
        <w:rPr>
          <w:bCs/>
          <w:b/>
        </w:rPr>
        <w:t xml:space="preserve">United Kingdom Birmingham</w:t>
      </w:r>
      <w:r>
        <w:t xml:space="preserve">. While traditionally associated with scientific inquiry, the term "Lab Report" in this context is utilized metaphorically to denote a rigorous, systematic analysis of legal practice. The city of Birmingham serves as a critical laboratory for observing how modern legal pressures intersect with traditional common law principles. As the second-largest city in England and Wales,</w:t>
      </w:r>
      <w:r>
        <w:t xml:space="preserve"> </w:t>
      </w:r>
      <w:r>
        <w:rPr>
          <w:bCs/>
          <w:b/>
        </w:rPr>
        <w:t xml:space="preserve">Birmingham</w:t>
      </w:r>
      <w:r>
        <w:t xml:space="preserve"> </w:t>
      </w:r>
      <w:r>
        <w:t xml:space="preserve">presents distinct challenges regarding caseload volume, demographic diversity, and access to justice that differ significantly from London-centric practices.</w:t>
      </w:r>
    </w:p>
    <w:p>
      <w:pPr>
        <w:pStyle w:val="BodyText"/>
      </w:pPr>
      <w:r>
        <w:t xml:space="preserve">The primary objective of this document is to evaluate how a practicing lawyer navigates the complex regulatory framework established by the Solicitors Regulation Authority (SRA) and the Bar Standards Board while delivering effective representation in courts such as Birmingham Magistrates’ Court and Birmingham Crown Court. This report analyzes three core variables: procedural adherence, client advocacy strategies, and ethical compliance within a high-density urban legal market.</w:t>
      </w:r>
    </w:p>
    <w:bookmarkEnd w:id="20"/>
    <w:bookmarkStart w:id="21" w:name="X0142f66475ae2fb33722d8d4750f386ecfefe7b"/>
    <w:p>
      <w:pPr>
        <w:pStyle w:val="Heading2"/>
      </w:pPr>
      <w:r>
        <w:t xml:space="preserve">2.0 Methodology of Observation</w:t>
      </w:r>
    </w:p>
    <w:p>
      <w:pPr>
        <w:pStyle w:val="FirstParagraph"/>
      </w:pPr>
      <w:r>
        <w:t xml:space="preserve">To construct this analytical report, we employed a qualitative observational methodology focused on the lifecycle of a typical complex civil dispute and its corresponding criminal counterpoint in Birmingham. The study observes the workflow of a senior lawyer at a mid-sized firm located in the Bullring and Grand Central legal hub.</w:t>
      </w:r>
    </w:p>
    <w:p>
      <w:pPr>
        <w:numPr>
          <w:ilvl w:val="0"/>
          <w:numId w:val="1001"/>
        </w:numPr>
        <w:pStyle w:val="Compact"/>
      </w:pPr>
      <w:r>
        <w:rPr>
          <w:bCs/>
          <w:b/>
        </w:rPr>
        <w:t xml:space="preserve">Data Collection:</w:t>
      </w:r>
      <w:r>
        <w:t xml:space="preserve"> </w:t>
      </w:r>
      <w:r>
        <w:t xml:space="preserve">Observation of initial client interviews (intake phase), drafting of pleadings, pre-trial reviews, and post-judgment advisory sessions.</w:t>
      </w:r>
    </w:p>
    <w:p>
      <w:pPr>
        <w:numPr>
          <w:ilvl w:val="0"/>
          <w:numId w:val="1001"/>
        </w:numPr>
        <w:pStyle w:val="Compact"/>
      </w:pPr>
      <w:r>
        <w:rPr>
          <w:bCs/>
          <w:b/>
        </w:rPr>
        <w:t xml:space="preserve">Jurisdictional Context:</w:t>
      </w:r>
      <w:r>
        <w:t xml:space="preserve"> </w:t>
      </w:r>
      <w:r>
        <w:t xml:space="preserve">Specific attention was paid to the procedural nuances required when appearing before the Birmingham District Registry of the High Court.</w:t>
      </w:r>
    </w:p>
    <w:p>
      <w:pPr>
        <w:numPr>
          <w:ilvl w:val="0"/>
          <w:numId w:val="1001"/>
        </w:numPr>
        <w:pStyle w:val="Compact"/>
      </w:pPr>
      <w:r>
        <w:rPr>
          <w:bCs/>
          <w:b/>
        </w:rPr>
        <w:t xml:space="preserve">Critical Analysis:</w:t>
      </w:r>
      <w:r>
        <w:t xml:space="preserve"> </w:t>
      </w:r>
      <w:r>
        <w:t xml:space="preserve">The performance of the lawyer was measured against key performance indicators (KPIs) defined by professional conduct rules and client satisfaction metrics.</w:t>
      </w:r>
    </w:p>
    <w:bookmarkEnd w:id="21"/>
    <w:bookmarkStart w:id="24" w:name="Xdc1408a91f161dab5a9893d23db3c7095200e1d"/>
    <w:p>
      <w:pPr>
        <w:pStyle w:val="Heading2"/>
      </w:pPr>
      <w:r>
        <w:t xml:space="preserve">3.0 Experimental Conditions: The Birmingham Context</w:t>
      </w:r>
    </w:p>
    <w:p>
      <w:pPr>
        <w:pStyle w:val="FirstParagraph"/>
      </w:pPr>
      <w:r>
        <w:t xml:space="preserve">The environment in which this lawyer operates is distinct. Birmingham is a multicultural metropolis with a rapidly evolving property market and a vibrant commercial sector situated around the Victoria Square business district. Consequently, the lawyer must possess specialized knowledge in both urban planning law and international commerce law.</w:t>
      </w:r>
    </w:p>
    <w:bookmarkStart w:id="22" w:name="demographic-diversity-and-communication"/>
    <w:p>
      <w:pPr>
        <w:pStyle w:val="Heading3"/>
      </w:pPr>
      <w:r>
        <w:t xml:space="preserve">3.1 Demographic Diversity and Communication</w:t>
      </w:r>
    </w:p>
    <w:p>
      <w:pPr>
        <w:pStyle w:val="FirstParagraph"/>
      </w:pPr>
      <w:r>
        <w:t xml:space="preserve">In Birmingham, effective legal representation requires exceptional communication skills. The client base reflects a vast array of linguistic and cultural backgrounds. A critical finding in this report is that the modern lawyer must act not merely as a technician of the law but as a cultural mediator. Misunderstandings arising from language barriers can have severe consequences in both family law proceedings and criminal defense within Birmingham courts.</w:t>
      </w:r>
    </w:p>
    <w:bookmarkEnd w:id="22"/>
    <w:bookmarkStart w:id="23" w:name="X3cef24e6322946f6d9197d5583246864e313ae9"/>
    <w:p>
      <w:pPr>
        <w:pStyle w:val="Heading3"/>
      </w:pPr>
      <w:r>
        <w:t xml:space="preserve">3.2 The Weight of Precedent vs. Local Practice</w:t>
      </w:r>
    </w:p>
    <w:p>
      <w:pPr>
        <w:pStyle w:val="FirstParagraph"/>
      </w:pPr>
      <w:r>
        <w:t xml:space="preserve">The lawyer in this study demonstrates the tension between national statutory obligations and local judicial tendencies. Judges at Birmingham Crown Court, for instance, may have specific preferences regarding case management that differ from those in Manchester or Leeds. Adapting to these unwritten "local rules" is a crucial skill tested during the observation period.</w:t>
      </w:r>
    </w:p>
    <w:bookmarkEnd w:id="23"/>
    <w:bookmarkEnd w:id="24"/>
    <w:bookmarkStart w:id="27" w:name="X33beb1398d687ce56ea092654850e76f54bebb2"/>
    <w:p>
      <w:pPr>
        <w:pStyle w:val="Heading2"/>
      </w:pPr>
      <w:r>
        <w:t xml:space="preserve">4.0 Results and Analysis</w:t>
      </w:r>
    </w:p>
    <w:p>
      <w:pPr>
        <w:pStyle w:val="FirstParagraph"/>
      </w:pPr>
      <w:r>
        <w:t xml:space="preserve">The analysis of the lawyer’s performance reveals several key outcomes regarding professional efficacy in this region.</w:t>
      </w:r>
    </w:p>
    <w:p>
      <w:pPr>
        <w:pStyle w:val="BodyText"/>
      </w:pPr>
      <w:r>
        <w:t xml:space="preserve">Metric</w:t>
      </w:r>
    </w:p>
    <w:p>
      <w:pPr>
        <w:pStyle w:val="BodyText"/>
      </w:pPr>
      <w:r>
        <w:t xml:space="preserve">Description</w:t>
      </w:r>
    </w:p>
    <w:p>
      <w:pPr>
        <w:pStyle w:val="BodyText"/>
      </w:pPr>
      <w:r>
        <w:t xml:space="preserve">Birmingham-Specific Observation</w:t>
      </w:r>
    </w:p>
    <w:p>
      <w:pPr>
        <w:pStyle w:val="BodyText"/>
      </w:pPr>
      <w:r>
        <w:rPr>
          <w:bCs/>
          <w:b/>
        </w:rPr>
        <w:t xml:space="preserve">Rapport Building</w:t>
      </w:r>
    </w:p>
    <w:p>
      <w:pPr>
        <w:pStyle w:val="BodyText"/>
      </w:pPr>
      <w:r>
        <w:t xml:space="preserve">The ability to establish trust with clients.</w:t>
      </w:r>
    </w:p>
    <w:p>
      <w:pPr>
        <w:pStyle w:val="BodyText"/>
      </w:pPr>
      <w:r>
        <w:t xml:space="preserve">Clients in Birmingham often prefer a more direct, less formal approach than the stereotypical London barrister. The lawyer successfully adapted their tone to be accessible yet authoritative.</w:t>
      </w:r>
    </w:p>
    <w:p>
      <w:pPr>
        <w:pStyle w:val="BodyText"/>
      </w:pPr>
      <w:r>
        <w:rPr>
          <w:bCs/>
          <w:b/>
        </w:rPr>
        <w:t xml:space="preserve">Courtroom Navigation</w:t>
      </w:r>
    </w:p>
    <w:p>
      <w:pPr>
        <w:pStyle w:val="BodyText"/>
      </w:pPr>
      <w:r>
        <w:t xml:space="preserve">Efficacy in navigating court systems.</w:t>
      </w:r>
    </w:p>
    <w:p>
      <w:pPr>
        <w:pStyle w:val="BodyText"/>
      </w:pPr>
      <w:r>
        <w:t xml:space="preserve">&lt;2.0&gt;The proximity of Birmingham’s legal institutions allows for faster turnaround times on urgent applications (such as injunctions). The lawyer utilized this logistical advantage effectively.</w:t>
      </w:r>
    </w:p>
    <w:p>
      <w:pPr>
        <w:pStyle w:val="BodyText"/>
      </w:pPr>
      <w:r>
        <w:rPr>
          <w:bCs/>
          <w:b/>
        </w:rPr>
        <w:t xml:space="preserve">Fee Transparency</w:t>
      </w:r>
    </w:p>
    <w:p>
      <w:pPr>
        <w:pStyle w:val="BodyText"/>
      </w:pPr>
      <w:r>
        <w:t xml:space="preserve">Clarity in billing structures.</w:t>
      </w:r>
    </w:p>
    <w:p>
      <w:pPr>
        <w:pStyle w:val="BodyText"/>
      </w:pPr>
      <w:r>
        <w:t xml:space="preserve">&lt;2.0&gt;Given the diverse economic demographics of Birmingham, transparent fixed-fee structures were more successful than purely hourly billing for residential conveyancing cases.</w:t>
      </w:r>
    </w:p>
    <w:bookmarkStart w:id="25" w:name="ethical-dilemmas-and-sra-compliance"/>
    <w:p>
      <w:pPr>
        <w:pStyle w:val="Heading3"/>
      </w:pPr>
      <w:r>
        <w:t xml:space="preserve">4.1 Ethical Dilemmas and SRA Compliance</w:t>
      </w:r>
    </w:p>
    <w:p>
      <w:pPr>
        <w:pStyle w:val="FirstParagraph"/>
      </w:pPr>
      <w:r>
        <w:t xml:space="preserve">A significant portion of the lawyer’s time was dedicated to ensuring compliance with the SRA Code of Conduct. In a busy market like Birmingham, where competition is fierce, there is inherent pressure to cut corners on anti-money laundering (AML) checks or client due diligence. The observed lawyer strictly adhered to these protocols, highlighting that ethical rigor is not optional but foundational to maintaining one's license to practice in the</w:t>
      </w:r>
      <w:r>
        <w:t xml:space="preserve"> </w:t>
      </w:r>
      <w:r>
        <w:rPr>
          <w:bCs/>
          <w:b/>
        </w:rPr>
        <w:t xml:space="preserve">United Kingdom</w:t>
      </w:r>
      <w:r>
        <w:t xml:space="preserve">.</w:t>
      </w:r>
    </w:p>
    <w:bookmarkEnd w:id="25"/>
    <w:bookmarkStart w:id="26" w:name="case-study-property-dispute-resolution"/>
    <w:p>
      <w:pPr>
        <w:pStyle w:val="Heading3"/>
      </w:pPr>
      <w:r>
        <w:t xml:space="preserve">4.2 Case Study: Property Dispute Resolution</w:t>
      </w:r>
    </w:p>
    <w:p>
      <w:pPr>
        <w:pStyle w:val="FirstParagraph"/>
      </w:pPr>
      <w:r>
        <w:t xml:space="preserve">In a specific test case involving a leasehold dispute in the Edgbaston area, the lawyer demonstrated strategic patience. Rather than rushing to trial at Birmingham Civil Justice Centre, the lawyer utilized alternative dispute resolution (ADR). This approach saved the client significant costs and reduced court congestion—a value highly regarded by local judges. This result underscores that successful legal practice in Birmingham often hinges on negotiation skills rather than purely adversarial litigation.</w:t>
      </w:r>
    </w:p>
    <w:bookmarkEnd w:id="26"/>
    <w:bookmarkEnd w:id="27"/>
    <w:bookmarkStart w:id="28" w:name="X43da23f34ee7adc1bc280808926e060c096910e"/>
    <w:p>
      <w:pPr>
        <w:pStyle w:val="Heading2"/>
      </w:pPr>
      <w:r>
        <w:t xml:space="preserve">5.0 Discussion</w:t>
      </w:r>
    </w:p>
    <w:p>
      <w:pPr>
        <w:pStyle w:val="FirstParagraph"/>
      </w:pPr>
      <w:r>
        <w:t xml:space="preserve">The role of the lawyer extends far beyond the mere application of black-letter law. In Birmingham, as elsewhere in the United Kingdom, lawyers are integral to the functioning of society's safety nets. The data suggests that a successful lawyer must be adaptable.</w:t>
      </w:r>
    </w:p>
    <w:p>
      <w:pPr>
        <w:pStyle w:val="BodyText"/>
      </w:pPr>
      <w:r>
        <w:t xml:space="preserve">The "Laboratory" aspect of this report highlights that legal outcomes are often dependent on variables outside strict statutory interpretation: the personality of the judge, the readiness of opposing counsel, and the specific emotional state of witnesses. The lawyer acts as a filter, translating these chaotic human elements into structured legal arguments.</w:t>
      </w:r>
    </w:p>
    <w:p>
      <w:pPr>
        <w:pStyle w:val="BodyText"/>
      </w:pPr>
      <w:r>
        <w:t xml:space="preserve">Furthermore, there is an increasing demand for digital literacy among lawyers in Birmingham. The introduction of virtual hearings and digital case management systems has revolutionized how legal work is conducted. The lawyer in this study showed proficiency in using electronic filing systems, a necessity that has become even more pronounced post-pandemic.</w:t>
      </w:r>
    </w:p>
    <w:bookmarkEnd w:id="28"/>
    <w:bookmarkStart w:id="29" w:name="Xce6ddc84d93a3a1dcd84238cd67260bd7272e08"/>
    <w:p>
      <w:pPr>
        <w:pStyle w:val="Heading2"/>
      </w:pPr>
      <w:r>
        <w:t xml:space="preserve">6.0 Conclusion</w:t>
      </w:r>
    </w:p>
    <w:p>
      <w:pPr>
        <w:pStyle w:val="FirstParagraph"/>
      </w:pPr>
      <w:r>
        <w:t xml:space="preserve">This lab report confirms that the practice of law in Birmingham is a complex, dynamic discipline requiring a blend of technical legal knowledge, emotional intelligence, and strict ethical adherence. The lawyer serves as the central operator in this legal experiment.</w:t>
      </w:r>
    </w:p>
    <w:p>
      <w:pPr>
        <w:pStyle w:val="BodyText"/>
      </w:pPr>
      <w:r>
        <w:t xml:space="preserve">We conclude that to be effective as a lawyer in United Kingdom Birmingham, one must:</w:t>
      </w:r>
    </w:p>
    <w:p>
      <w:pPr>
        <w:numPr>
          <w:ilvl w:val="0"/>
          <w:numId w:val="1002"/>
        </w:numPr>
        <w:pStyle w:val="Compact"/>
      </w:pPr>
      <w:r>
        <w:t xml:space="preserve">Maintain rigorous compliance with national regulatory bodies while understanding local court cultures.</w:t>
      </w:r>
    </w:p>
    <w:p>
      <w:pPr>
        <w:numPr>
          <w:ilvl w:val="0"/>
          <w:numId w:val="1002"/>
        </w:numPr>
        <w:pStyle w:val="Compact"/>
      </w:pPr>
      <w:r>
        <w:t xml:space="preserve">Prioritize clear communication to bridge demographic gaps within the diverse population of the West Midlands.</w:t>
      </w:r>
    </w:p>
    <w:p>
      <w:pPr>
        <w:numPr>
          <w:ilvl w:val="0"/>
          <w:numId w:val="1002"/>
        </w:numPr>
        <w:pStyle w:val="Compact"/>
      </w:pPr>
      <w:r>
        <w:t xml:space="preserve">Leverage alternative dispute resolution mechanisms to provide cost-effective solutions.</w:t>
      </w:r>
    </w:p>
    <w:p>
      <w:pPr>
        <w:pStyle w:val="FirstParagraph"/>
      </w:pPr>
      <w:r>
        <w:t xml:space="preserve">The findings indicate that the "Birmingham Lawyer" is a distinct archetype—one that balances commercial acumen with community-centric advocacy. This report serves as a testament to the rigorous standards required to maintain professional integrity and client trust in one of the UK's most vibrant legal markets.</w:t>
      </w:r>
    </w:p>
    <w:p>
      <w:r>
        <w:pict>
          <v:rect style="width:0;height:1.5pt" o:hralign="center" o:hrstd="t" o:hr="t"/>
        </w:pict>
      </w:r>
    </w:p>
    <w:p>
      <w:pPr>
        <w:pStyle w:val="FirstParagraph"/>
      </w:pPr>
      <w:r>
        <w:rPr>
          <w:iCs/>
          <w:i/>
        </w:rPr>
        <w:t xml:space="preserve">Note: This document is a theoretical simulation for educational and analytical purposes. It does not constitute legal advice. All names, cases, and specific firm details have been anonymized or generalized to protect confidentiality.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Legal Representation and Advocacy in United Kingdom Birmingham</dc:title>
  <dc:creator/>
  <dc:language>en</dc:language>
  <cp:keywords/>
  <dcterms:created xsi:type="dcterms:W3CDTF">2026-07-29T15:10:09Z</dcterms:created>
  <dcterms:modified xsi:type="dcterms:W3CDTF">2026-07-29T15:10:09Z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