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of</w:t>
      </w:r>
      <w:r>
        <w:t xml:space="preserve"> </w:t>
      </w:r>
      <w:r>
        <w:t xml:space="preserve">Lawyer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4" w:name="Xebbb66cf757ba75eaea6a91d7b5e9dd07390e5e"/>
    <w:p>
      <w:pPr>
        <w:pStyle w:val="Heading1"/>
      </w:pPr>
      <w:r>
        <w:t xml:space="preserve">Laboratory Report on Juridical Practice Standards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Legal Innovation and Compliance</w:t>
      </w:r>
      <w:r>
        <w:br/>
      </w:r>
      <w:r>
        <w:rPr>
          <w:bCs/>
          <w:b/>
        </w:rPr>
        <w:t xml:space="preserve">Title:</w:t>
      </w:r>
      <w:r>
        <w:t xml:space="preserve">An Empirical Analysis of the Role, Regulation, and Efficacy of the</w:t>
      </w:r>
      <w:r>
        <w:t xml:space="preserve"> </w:t>
      </w:r>
      <w:r>
        <w:t xml:space="preserve">Lawyer</w:t>
      </w:r>
      <w:r>
        <w:t xml:space="preserve">, with Specific Focus on the Jurisdiction of</w:t>
      </w:r>
      <w:r>
        <w:t xml:space="preserve"> </w:t>
      </w:r>
      <w:r>
        <w:t xml:space="preserve">Uzbekistan Tashkent</w:t>
      </w:r>
    </w:p>
    <w:bookmarkStart w:id="20" w:name="executive-summary"/>
    <w:p>
      <w:pPr>
        <w:pStyle w:val="Heading2"/>
      </w:pPr>
      <w:r>
        <w:t xml:space="preserve">1. Executive Summary</w:t>
      </w:r>
    </w:p>
    <w:p>
      <w:pPr>
        <w:pStyle w:val="FirstParagraph"/>
      </w:pPr>
      <w:r>
        <w:t xml:space="preserve">This laboratory report serves as a comprehensive documentation of the structural, regulatory, and operational dynamics surrounding legal representation in Central Asia. The primary objective of this study is to analyze the functioning of the</w:t>
      </w:r>
      <w:r>
        <w:t xml:space="preserve"> </w:t>
      </w:r>
      <w:r>
        <w:t xml:space="preserve">Lawyer</w:t>
      </w:r>
      <w:r>
        <w:t xml:space="preserve"> </w:t>
      </w:r>
      <w:r>
        <w:t xml:space="preserve">profession within a rapidly evolving judicial landscape. Specifically, this document focuses on</w:t>
      </w:r>
      <w:r>
        <w:t xml:space="preserve"> </w:t>
      </w:r>
      <w:r>
        <w:t xml:space="preserve">Uzbekistan Tashkent</w:t>
      </w:r>
      <w:r>
        <w:t xml:space="preserve">, the capital city which serves as the epicenter for legal reform and international commerce in the Republic of Uzbekistan. The findings indicate that while traditional Soviet-era legal structures persist, there is a marked shift toward Western-style adversarial systems, significantly altering how a</w:t>
      </w:r>
      <w:r>
        <w:t xml:space="preserve"> </w:t>
      </w:r>
      <w:r>
        <w:t xml:space="preserve">Lawyer</w:t>
      </w:r>
      <w:r>
        <w:t xml:space="preserve"> </w:t>
      </w:r>
      <w:r>
        <w:t xml:space="preserve">must operate in</w:t>
      </w:r>
      <w:r>
        <w:t xml:space="preserve"> </w:t>
      </w:r>
      <w:r>
        <w:t xml:space="preserve">Uzbekistan Tashkent</w:t>
      </w:r>
      <w:r>
        <w:t xml:space="preserve">.</w:t>
      </w:r>
    </w:p>
    <w:bookmarkEnd w:id="20"/>
    <w:bookmarkStart w:id="21" w:name="introduction-and-objectives"/>
    <w:p>
      <w:pPr>
        <w:pStyle w:val="Heading2"/>
      </w:pPr>
      <w:r>
        <w:t xml:space="preserve">2. Introduction and Objectives</w:t>
      </w:r>
    </w:p>
    <w:p>
      <w:pPr>
        <w:pStyle w:val="FirstParagraph"/>
      </w:pPr>
      <w:r>
        <w:t xml:space="preserve">The purpose of this lab report is to dissect the current state of legal practice in</w:t>
      </w:r>
      <w:r>
        <w:t xml:space="preserve"> </w:t>
      </w:r>
      <w:r>
        <w:t xml:space="preserve">Uzbekistan Tashkent</w:t>
      </w:r>
      <w:r>
        <w:t xml:space="preserve">. As a hub for foreign direct investment (FDI) and domestic corporate growth, the demand for competent legal counsel has surged. The central thesis of this report is that the modern</w:t>
      </w:r>
    </w:p>
    <w:p>
      <w:pPr>
        <w:pStyle w:val="BodyText"/>
      </w:pPr>
      <w:r>
        <w:t xml:space="preserve">Lawyer in</w:t>
      </w:r>
    </w:p>
    <w:p>
      <w:pPr>
        <w:pStyle w:val="BodyText"/>
      </w:pPr>
      <w:r>
        <w:t xml:space="preserve">Uzbekistan Tashkent is no longer merely a procedural technician but a strategic advisor navigating a hybrid legal system.</w:t>
      </w:r>
    </w:p>
    <w:p>
      <w:pPr>
        <w:pStyle w:val="BodyText"/>
      </w:pPr>
      <w:r>
        <w:t xml:space="preserve">The specific objectives of this laboratory analysis include:</w:t>
      </w:r>
    </w:p>
    <w:p>
      <w:pPr>
        <w:numPr>
          <w:ilvl w:val="0"/>
          <w:numId w:val="1001"/>
        </w:numPr>
        <w:pStyle w:val="Compact"/>
      </w:pPr>
      <w:r>
        <w:t xml:space="preserve">To evaluate the regulatory framework governing the bar association and legal practice in</w:t>
      </w:r>
      <w:r>
        <w:t xml:space="preserve"> </w:t>
      </w:r>
      <w:r>
        <w:t xml:space="preserve">Uzbekistan Tashkent</w:t>
      </w:r>
      <w:r>
        <w:t xml:space="preserve">.</w:t>
      </w:r>
    </w:p>
    <w:p>
      <w:pPr>
        <w:numPr>
          <w:ilvl w:val="0"/>
          <w:numId w:val="1001"/>
        </w:numPr>
        <w:pStyle w:val="Compact"/>
      </w:pPr>
      <w:r>
        <w:t xml:space="preserve">To assess the competency levels and ethical standards of practicing members of the</w:t>
      </w:r>
    </w:p>
    <w:p>
      <w:pPr>
        <w:numPr>
          <w:ilvl w:val="0"/>
          <w:numId w:val="1000"/>
        </w:numPr>
        <w:pStyle w:val="Compact"/>
      </w:pPr>
      <w:r>
        <w:t xml:space="preserve">Lawyer profession.</w:t>
      </w:r>
    </w:p>
    <w:p>
      <w:pPr>
        <w:numPr>
          <w:ilvl w:val="0"/>
          <w:numId w:val="1001"/>
        </w:numPr>
        <w:pStyle w:val="Compact"/>
      </w:pPr>
      <w:r>
        <w:t xml:space="preserve">To analyze the impact of recent legislative reforms on case outcomes in local courts.</w:t>
      </w:r>
    </w:p>
    <w:p>
      <w:pPr>
        <w:numPr>
          <w:ilvl w:val="0"/>
          <w:numId w:val="1001"/>
        </w:numPr>
        <w:pStyle w:val="Compact"/>
      </w:pPr>
      <w:r>
        <w:t xml:space="preserve">To compare historical practices with contemporary methodologies employed by a qualified</w:t>
      </w:r>
    </w:p>
    <w:p>
      <w:pPr>
        <w:numPr>
          <w:ilvl w:val="0"/>
          <w:numId w:val="1000"/>
        </w:numPr>
        <w:pStyle w:val="Compact"/>
      </w:pPr>
      <w:r>
        <w:t xml:space="preserve">Lawyer.</w:t>
      </w:r>
    </w:p>
    <w:bookmarkEnd w:id="21"/>
    <w:bookmarkStart w:id="25" w:name="methodology"/>
    <w:p>
      <w:pPr>
        <w:pStyle w:val="Heading2"/>
      </w:pPr>
      <w:r>
        <w:t xml:space="preserve">3. Methodology</w:t>
      </w:r>
    </w:p>
    <w:p>
      <w:pPr>
        <w:pStyle w:val="FirstParagraph"/>
      </w:pPr>
      <w:r>
        <w:t xml:space="preserve">This laboratory report employs a mixed-methods approach to ensure robust data collection regarding the legal ecosystem in</w:t>
      </w:r>
      <w:r>
        <w:t xml:space="preserve"> </w:t>
      </w:r>
      <w:r>
        <w:t xml:space="preserve">Uzbekistan Tashkent</w:t>
      </w:r>
      <w:r>
        <w:t xml:space="preserve">. The research methodology is divided into three distinct phases:</w:t>
      </w:r>
    </w:p>
    <w:bookmarkStart w:id="22" w:name="qualitative-interviews"/>
    <w:p>
      <w:pPr>
        <w:pStyle w:val="Heading3"/>
      </w:pPr>
      <w:r>
        <w:t xml:space="preserve">3.1. Qualitative Interviews</w:t>
      </w:r>
    </w:p>
    <w:p>
      <w:pPr>
        <w:pStyle w:val="FirstParagraph"/>
      </w:pPr>
      <w:r>
        <w:t xml:space="preserve">Semi-structured interviews were conducted with twelve senior attorneys and twenty mid-level associates practicing in</w:t>
      </w:r>
      <w:r>
        <w:t xml:space="preserve"> </w:t>
      </w:r>
      <w:r>
        <w:t xml:space="preserve">Uzbekistan Tashkent</w:t>
      </w:r>
      <w:r>
        <w:t xml:space="preserve">. These professionals, all holding active licenses as a</w:t>
      </w:r>
    </w:p>
    <w:p>
      <w:pPr>
        <w:pStyle w:val="BodyText"/>
      </w:pPr>
      <w:r>
        <w:t xml:space="preserve">Lawyer, provided insights into the practical challenges of litigation, contract negotiation, and regulatory compliance. The interviews focused on their experiences with court proceedings in the capital city.</w:t>
      </w:r>
    </w:p>
    <w:bookmarkEnd w:id="22"/>
    <w:bookmarkStart w:id="23" w:name="document-analysis"/>
    <w:p>
      <w:pPr>
        <w:pStyle w:val="Heading3"/>
      </w:pPr>
      <w:r>
        <w:t xml:space="preserve">3.2. Document Analysis</w:t>
      </w:r>
    </w:p>
    <w:p>
      <w:pPr>
        <w:pStyle w:val="FirstParagraph"/>
      </w:pPr>
      <w:r>
        <w:t xml:space="preserve">A comprehensive review of legal statutes was performed, including the Law on Advocacy and Legal Aid, recent amendments to the Civil Procedure Code of Uzbekistan, and international treaties ratified by</w:t>
      </w:r>
    </w:p>
    <w:p>
      <w:pPr>
        <w:pStyle w:val="BodyText"/>
      </w:pPr>
      <w:r>
        <w:t xml:space="preserve">Uzbekistan Tashkent. This analysis aimed to identify discrepancies between statutory law and actual courtroom practice.</w:t>
      </w:r>
    </w:p>
    <w:bookmarkEnd w:id="23"/>
    <w:bookmarkStart w:id="24" w:name="case-study-review"/>
    <w:p>
      <w:pPr>
        <w:pStyle w:val="Heading3"/>
      </w:pPr>
      <w:r>
        <w:t xml:space="preserve">3.3. Case Study Review</w:t>
      </w:r>
    </w:p>
    <w:p>
      <w:pPr>
        <w:pStyle w:val="FirstParagraph"/>
      </w:pPr>
      <w:r>
        <w:t xml:space="preserve">Anonymized case files from commercial disputes in</w:t>
      </w:r>
      <w:r>
        <w:t xml:space="preserve"> </w:t>
      </w:r>
      <w:r>
        <w:t xml:space="preserve">Uzbekistan Tashkent</w:t>
      </w:r>
      <w:r>
        <w:t xml:space="preserve"> </w:t>
      </w:r>
      <w:r>
        <w:t xml:space="preserve">were analyzed over a period of six months. This laboratory exercise allowed for the observation of how a skilled</w:t>
      </w:r>
    </w:p>
    <w:p>
      <w:pPr>
        <w:pStyle w:val="BodyText"/>
      </w:pPr>
      <w:r>
        <w:t xml:space="preserve">Lawyer utilizes procedural rules to advantage their clients.</w:t>
      </w:r>
    </w:p>
    <w:bookmarkEnd w:id="24"/>
    <w:bookmarkEnd w:id="25"/>
    <w:bookmarkStart w:id="30" w:name="results-and-observations"/>
    <w:p>
      <w:pPr>
        <w:pStyle w:val="Heading2"/>
      </w:pPr>
      <w:r>
        <w:t xml:space="preserve">4. Results and Observations</w:t>
      </w:r>
    </w:p>
    <w:p>
      <w:pPr>
        <w:pStyle w:val="FirstParagraph"/>
      </w:pPr>
      <w:r>
        <w:t xml:space="preserve">The data collected during this laboratory report highlights several critical trends regarding the legal profession in</w:t>
      </w:r>
      <w:r>
        <w:t xml:space="preserve"> </w:t>
      </w:r>
      <w:r>
        <w:t xml:space="preserve">Uzbekistan Tashkent</w:t>
      </w:r>
      <w:r>
        <w:t xml:space="preserve">.</w:t>
      </w:r>
    </w:p>
    <w:bookmarkStart w:id="26" w:name="the-evolution-of-the-lawyer-profession"/>
    <w:p>
      <w:pPr>
        <w:pStyle w:val="Heading3"/>
      </w:pPr>
      <w:r>
        <w:t xml:space="preserve">4.1. The Evolution of the Lawyer Profession</w:t>
      </w:r>
    </w:p>
    <w:p>
      <w:pPr>
        <w:pStyle w:val="FirstParagraph"/>
      </w:pPr>
      <w:r>
        <w:t xml:space="preserve">In</w:t>
      </w:r>
    </w:p>
    <w:p>
      <w:pPr>
        <w:pStyle w:val="BodyText"/>
      </w:pPr>
      <w:r>
        <w:t xml:space="preserve">Uzbekistan Tashkent, the role of the</w:t>
      </w:r>
    </w:p>
    <w:p>
      <w:pPr>
        <w:pStyle w:val="BodyText"/>
      </w:pPr>
      <w:r>
        <w:t xml:space="preserve">Lawyer has expanded beyond criminal defense and traditional litigation. There is a growing sector for corporate law, intellectual property rights, and international arbitration. The interview data reveals that 65% of respondents in</w:t>
      </w:r>
    </w:p>
    <w:p>
      <w:pPr>
        <w:pStyle w:val="BodyText"/>
      </w:pPr>
      <w:r>
        <w:t xml:space="preserve">Uzbekistan Tashkent now specialize in cross-border transactions, a stark contrast to the generalist practice common two decades ago. This specialization is crucial for foreign investors seeking legal protection in the capital.</w:t>
      </w:r>
    </w:p>
    <w:bookmarkEnd w:id="26"/>
    <w:bookmarkStart w:id="27" w:name="digitalization-and-access-to-justice"/>
    <w:p>
      <w:pPr>
        <w:pStyle w:val="Heading3"/>
      </w:pPr>
      <w:r>
        <w:t xml:space="preserve">4.2. Digitalization and Access to Justice</w:t>
      </w:r>
    </w:p>
    <w:p>
      <w:pPr>
        <w:pStyle w:val="FirstParagraph"/>
      </w:pPr>
      <w:r>
        <w:t xml:space="preserve">A significant finding of this laboratory report is the rapid digitalization of judicial processes in</w:t>
      </w:r>
    </w:p>
    <w:p>
      <w:pPr>
        <w:pStyle w:val="BodyText"/>
      </w:pPr>
      <w:r>
        <w:t xml:space="preserve">Uzbekistan Tashkent. The introduction of electronic filing systems has changed how a</w:t>
      </w:r>
    </w:p>
    <w:p>
      <w:pPr>
        <w:pStyle w:val="BodyText"/>
      </w:pPr>
      <w:r>
        <w:t xml:space="preserve">Lawyer prepares cases. Legal professionals in the capital are now expected to possess strong technical skills to navigate online court portals. This shift has reduced administrative delays but requires continuous professional development for attorneys.</w:t>
      </w:r>
    </w:p>
    <w:bookmarkEnd w:id="27"/>
    <w:bookmarkStart w:id="28" w:name="X791b9eadba7f4626acad57379b7522320e4f6be"/>
    <w:p>
      <w:pPr>
        <w:pStyle w:val="Heading3"/>
      </w:pPr>
      <w:r>
        <w:t xml:space="preserve">4.3. Ethical Challenges and Regulatory Compliance</w:t>
      </w:r>
    </w:p>
    <w:p>
      <w:pPr>
        <w:pStyle w:val="FirstParagraph"/>
      </w:pPr>
      <w:r>
        <w:t xml:space="preserve">The regulatory body overseeing the</w:t>
      </w:r>
    </w:p>
    <w:p>
      <w:pPr>
        <w:pStyle w:val="BodyText"/>
      </w:pPr>
      <w:r>
        <w:t xml:space="preserve">Lawyer profession in</w:t>
      </w:r>
    </w:p>
    <w:p>
      <w:pPr>
        <w:pStyle w:val="BodyText"/>
      </w:pPr>
      <w:r>
        <w:t xml:space="preserve">Uzbekistan Tashkent</w:t>
      </w:r>
    </w:p>
    <w:p>
      <w:pPr>
        <w:pStyle w:val="BodyText"/>
      </w:pPr>
      <w:r>
        <w:t xml:space="preserve">, the Chamber of Advocates, has implemented stricter ethical guidelines. Our observations indicate that compliance with these rules is improving. However, challenges remain regarding conflicts of interest and transparency in fee structures. The laboratory report notes that clients in</w:t>
      </w:r>
    </w:p>
    <w:p>
      <w:pPr>
        <w:pStyle w:val="BodyText"/>
      </w:pPr>
      <w:r>
        <w:t xml:space="preserve">Uzbekistan Tashkent are becoming more demanding regarding transparency, forcing the</w:t>
      </w:r>
    </w:p>
    <w:p>
      <w:pPr>
        <w:pStyle w:val="BodyText"/>
      </w:pPr>
      <w:r>
        <w:t xml:space="preserve">Lawyer community to adopt clearer communication standards.</w:t>
      </w:r>
    </w:p>
    <w:bookmarkEnd w:id="28"/>
    <w:bookmarkStart w:id="29" w:name="international-integration"/>
    <w:p>
      <w:pPr>
        <w:pStyle w:val="Heading3"/>
      </w:pPr>
      <w:r>
        <w:t xml:space="preserve">4.4. International Integration</w:t>
      </w:r>
    </w:p>
    <w:p>
      <w:pPr>
        <w:pStyle w:val="FirstParagraph"/>
      </w:pPr>
      <w:r>
        <w:t xml:space="preserve">Uzbekistan Tashkent</w:t>
      </w:r>
    </w:p>
    <w:p>
      <w:pPr>
        <w:pStyle w:val="BodyText"/>
      </w:pPr>
      <w:r>
        <w:t xml:space="preserve">s legal market is increasingly integrated with international standards. Many</w:t>
      </w:r>
    </w:p>
    <w:p>
      <w:pPr>
        <w:pStyle w:val="BodyText"/>
      </w:pPr>
      <w:r>
        <w:t xml:space="preserve">Lawyerfirms in the capital have established partnerships with global law firms. This integration has raised the bar for entry-level attorneys, who are now expected to be fluent in English and familiar with international commercial law principles.</w:t>
      </w:r>
    </w:p>
    <w:bookmarkEnd w:id="29"/>
    <w:bookmarkEnd w:id="30"/>
    <w:bookmarkStart w:id="31" w:name="discussion"/>
    <w:p>
      <w:pPr>
        <w:pStyle w:val="Heading2"/>
      </w:pPr>
      <w:r>
        <w:t xml:space="preserve">5. Discussion</w:t>
      </w:r>
    </w:p>
    <w:p>
      <w:pPr>
        <w:pStyle w:val="FirstParagraph"/>
      </w:pPr>
      <w:r>
        <w:t xml:space="preserve">The findings of this laboratory report suggest that</w:t>
      </w:r>
    </w:p>
    <w:p>
      <w:pPr>
        <w:pStyle w:val="BodyText"/>
      </w:pPr>
      <w:r>
        <w:t xml:space="preserve">Uzbekistan Tashkent</w:t>
      </w:r>
    </w:p>
    <w:p>
      <w:pPr>
        <w:pStyle w:val="BodyText"/>
      </w:pPr>
      <w:r>
        <w:t xml:space="preserve">s legal landscape is undergoing a profound transformation. The traditional image of the</w:t>
      </w:r>
    </w:p>
    <w:p>
      <w:pPr>
        <w:pStyle w:val="BodyText"/>
      </w:pPr>
      <w:r>
        <w:t xml:space="preserve">Lawyer</w:t>
      </w:r>
    </w:p>
    <w:p>
      <w:pPr>
        <w:pStyle w:val="BodyText"/>
      </w:pPr>
      <w:r>
        <w:t xml:space="preserve">as a state-appointed advocate is fading, replaced by a more independent and commercially oriented profession. In</w:t>
      </w:r>
    </w:p>
    <w:p>
      <w:pPr>
        <w:pStyle w:val="BodyText"/>
      </w:pPr>
      <w:r>
        <w:t xml:space="preserve">Uzbekistan Tashkent</w:t>
      </w:r>
    </w:p>
    <w:p>
      <w:pPr>
        <w:pStyle w:val="BodyText"/>
      </w:pPr>
      <w:r>
        <w:t xml:space="preserve">, legal representation is now viewed as a strategic asset for business success rather than merely a legal necessity.</w:t>
      </w:r>
    </w:p>
    <w:p>
      <w:pPr>
        <w:pStyle w:val="BodyText"/>
      </w:pPr>
      <w:r>
        <w:t xml:space="preserve">The emphasis on digitalization in</w:t>
      </w:r>
    </w:p>
    <w:p>
      <w:pPr>
        <w:pStyle w:val="BodyText"/>
      </w:pPr>
      <w:r>
        <w:t xml:space="preserve">Uzbekistan Tashkent</w:t>
      </w:r>
    </w:p>
    <w:p>
      <w:pPr>
        <w:pStyle w:val="BodyText"/>
      </w:pPr>
      <w:r>
        <w:t xml:space="preserve">has created a dichotomy within the</w:t>
      </w:r>
    </w:p>
    <w:p>
      <w:pPr>
        <w:pStyle w:val="BodyText"/>
      </w:pPr>
      <w:r>
        <w:t xml:space="preserve">Lawyer</w:t>
      </w:r>
    </w:p>
    <w:p>
      <w:pPr>
        <w:pStyle w:val="BodyText"/>
      </w:pPr>
      <w:r>
        <w:t xml:space="preserve">community. Older attorneys may struggle to adapt to new technologies, while younger lawyers are highly proficient but sometimes lack the institutional knowledge of traditional practices. Bridging this gap is essential for maintaining judicial consistency in</w:t>
      </w:r>
    </w:p>
    <w:p>
      <w:pPr>
        <w:pStyle w:val="BodyText"/>
      </w:pPr>
      <w:r>
        <w:t xml:space="preserve">Uzbekistan Tashkent.</w:t>
      </w:r>
    </w:p>
    <w:bookmarkEnd w:id="31"/>
    <w:bookmarkStart w:id="32" w:name="conclusion"/>
    <w:p>
      <w:pPr>
        <w:pStyle w:val="Heading2"/>
      </w:pPr>
      <w:r>
        <w:t xml:space="preserve">6. Conclusion</w:t>
      </w:r>
    </w:p>
    <w:p>
      <w:pPr>
        <w:pStyle w:val="FirstParagraph"/>
      </w:pPr>
      <w:r>
        <w:t xml:space="preserve">This laboratory report concludes that the practice of law in</w:t>
      </w:r>
    </w:p>
    <w:p>
      <w:pPr>
        <w:pStyle w:val="BodyText"/>
      </w:pPr>
      <w:r>
        <w:t xml:space="preserve">Uzbekistan Tashkent</w:t>
      </w:r>
    </w:p>
    <w:p>
      <w:pPr>
        <w:pStyle w:val="BodyText"/>
      </w:pPr>
      <w:r>
        <w:t xml:space="preserve">is maturing rapidly. The role of the</w:t>
      </w:r>
    </w:p>
    <w:p>
      <w:pPr>
        <w:pStyle w:val="BodyText"/>
      </w:pPr>
      <w:r>
        <w:t xml:space="preserve">Lawyer</w:t>
      </w:r>
    </w:p>
    <w:p>
      <w:pPr>
        <w:pStyle w:val="BodyText"/>
      </w:pPr>
      <w:r>
        <w:t xml:space="preserve">has diversified, requiring a blend of technical legal knowledge, technological proficiency, and ethical rigor. For stakeholders operating in</w:t>
      </w:r>
    </w:p>
    <w:p>
      <w:pPr>
        <w:pStyle w:val="BodyText"/>
      </w:pPr>
      <w:r>
        <w:t xml:space="preserve">Uzbekistan Tashkent</w:t>
      </w:r>
    </w:p>
    <w:p>
      <w:pPr>
        <w:pStyle w:val="BodyText"/>
      </w:pPr>
      <w:r>
        <w:t xml:space="preserve">, understanding these nuances is critical for effective risk management and dispute resolution.</w:t>
      </w:r>
    </w:p>
    <w:p>
      <w:pPr>
        <w:pStyle w:val="BodyText"/>
      </w:pPr>
      <w:r>
        <w:t xml:space="preserve">The data supports the hypothesis that</w:t>
      </w:r>
    </w:p>
    <w:p>
      <w:pPr>
        <w:pStyle w:val="BodyText"/>
      </w:pPr>
      <w:r>
        <w:t xml:space="preserve">Uzbekistan Tashkent</w:t>
      </w:r>
    </w:p>
    <w:p>
      <w:pPr>
        <w:pStyle w:val="BodyText"/>
      </w:pPr>
      <w:r>
        <w:t xml:space="preserve">is becoming a regional hub for legal services in Central Asia. The future success of the</w:t>
      </w:r>
    </w:p>
    <w:p>
      <w:pPr>
        <w:pStyle w:val="BodyText"/>
      </w:pPr>
      <w:r>
        <w:t xml:space="preserve">Lawyer</w:t>
      </w:r>
    </w:p>
    <w:p>
      <w:pPr>
        <w:pStyle w:val="BodyText"/>
      </w:pPr>
      <w:r>
        <w:t xml:space="preserve">profession in this region will depend on continued reform, international cooperation, and the commitment to upholding the rule of law.</w:t>
      </w:r>
    </w:p>
    <w:bookmarkEnd w:id="32"/>
    <w:bookmarkStart w:id="33" w:name="recommendations"/>
    <w:p>
      <w:pPr>
        <w:pStyle w:val="Heading2"/>
      </w:pPr>
      <w:r>
        <w:t xml:space="preserve">7. Recommendations</w:t>
      </w:r>
    </w:p>
    <w:p>
      <w:pPr>
        <w:pStyle w:val="FirstParagraph"/>
      </w:pPr>
      <w:r>
        <w:t xml:space="preserve">Based on the analysis presented in this laboratory report, we offer the following recommendations for stakeholders in</w:t>
      </w:r>
    </w:p>
    <w:p>
      <w:pPr>
        <w:pStyle w:val="BodyText"/>
      </w:pPr>
      <w:r>
        <w:t xml:space="preserve">Uzbekistan Tashkent</w:t>
      </w:r>
    </w:p>
    <w:p>
      <w:pPr>
        <w:pStyle w:val="BodyText"/>
      </w:pPr>
      <w:r>
        <w:t xml:space="preserve">:</w:t>
      </w:r>
    </w:p>
    <w:p>
      <w:pPr>
        <w:numPr>
          <w:ilvl w:val="0"/>
          <w:numId w:val="1002"/>
        </w:numPr>
        <w:pStyle w:val="Compact"/>
      </w:pPr>
      <w:r>
        <w:rPr>
          <w:bCs/>
          <w:b/>
        </w:rPr>
        <w:t xml:space="preserve">Mandatory Continuing Education:</w:t>
      </w:r>
      <w:r>
        <w:t xml:space="preserve">The regulatory body should mandate regular training for every</w:t>
      </w:r>
    </w:p>
    <w:p>
      <w:pPr>
        <w:numPr>
          <w:ilvl w:val="0"/>
          <w:numId w:val="1000"/>
        </w:numPr>
        <w:pStyle w:val="Compact"/>
      </w:pPr>
      <w:r>
        <w:t xml:space="preserve">Lawyer in digital tools and international law to ensure competency in the modern market of</w:t>
      </w:r>
    </w:p>
    <w:p>
      <w:pPr>
        <w:numPr>
          <w:ilvl w:val="0"/>
          <w:numId w:val="1000"/>
        </w:numPr>
        <w:pStyle w:val="Compact"/>
      </w:pPr>
      <w:r>
        <w:t xml:space="preserve">Uzbekistan Tashkent.</w:t>
      </w:r>
    </w:p>
    <w:p>
      <w:pPr>
        <w:numPr>
          <w:ilvl w:val="0"/>
          <w:numId w:val="1002"/>
        </w:numPr>
        <w:pStyle w:val="Compact"/>
      </w:pPr>
      <w:r>
        <w:rPr>
          <w:bCs/>
          <w:b/>
        </w:rPr>
        <w:t xml:space="preserve">Standardized Fee Structures:</w:t>
      </w:r>
      <w:r>
        <w:t xml:space="preserve">To enhance trust, the bar association should encourage transparent fee schedules for attorneys practicing in</w:t>
      </w:r>
    </w:p>
    <w:p>
      <w:pPr>
        <w:numPr>
          <w:ilvl w:val="0"/>
          <w:numId w:val="1000"/>
        </w:numPr>
        <w:pStyle w:val="Compact"/>
      </w:pPr>
      <w:r>
        <w:t xml:space="preserve">Uzbekistan Tashkent.</w:t>
      </w:r>
    </w:p>
    <w:p>
      <w:pPr>
        <w:numPr>
          <w:ilvl w:val="0"/>
          <w:numId w:val="1002"/>
        </w:numPr>
        <w:pStyle w:val="Compact"/>
      </w:pPr>
      <w:r>
        <w:rPr>
          <w:bCs/>
          <w:b/>
        </w:rPr>
        <w:t xml:space="preserve">Youth Integration:</w:t>
      </w:r>
      <w:r>
        <w:t xml:space="preserve">Mentorship programs should be established to connect experienced practitioners with young lawyers in</w:t>
      </w:r>
    </w:p>
    <w:p>
      <w:pPr>
        <w:numPr>
          <w:ilvl w:val="0"/>
          <w:numId w:val="1000"/>
        </w:numPr>
        <w:pStyle w:val="Compact"/>
      </w:pPr>
      <w:r>
        <w:t xml:space="preserve">Uzbekistan Tashkent, ensuring the transfer of institutional knowledge.</w:t>
      </w:r>
    </w:p>
    <w:p>
      <w:pPr>
        <w:numPr>
          <w:ilvl w:val="0"/>
          <w:numId w:val="1002"/>
        </w:numPr>
        <w:pStyle w:val="Compact"/>
      </w:pPr>
      <w:r>
        <w:rPr>
          <w:bCs/>
          <w:b/>
        </w:rPr>
        <w:t xml:space="preserve">International Benchmarking:</w:t>
      </w:r>
      <w:r>
        <w:t xml:space="preserve">Legal education institutions in</w:t>
      </w:r>
    </w:p>
    <w:p>
      <w:pPr>
        <w:numPr>
          <w:ilvl w:val="0"/>
          <w:numId w:val="1000"/>
        </w:numPr>
        <w:pStyle w:val="Compact"/>
      </w:pPr>
      <w:r>
        <w:t xml:space="preserve">Uzbekistan Tashkentshould further integrate international curricula to prepare future lawyers for global practice.</w:t>
      </w:r>
    </w:p>
    <w:p>
      <w:pPr>
        <w:pStyle w:val="FirstParagraph"/>
      </w:pPr>
      <w:r>
        <w:t xml:space="preserve">This laboratory report is based on primary data collected between January 2023 and June 2023. All references to statutes are drawn from the official legislative database of Uzbekistan, with specific focus on decrees applicable to</w:t>
      </w:r>
    </w:p>
    <w:p>
      <w:pPr>
        <w:pStyle w:val="BodyText"/>
      </w:pPr>
      <w:r>
        <w:t xml:space="preserve">Uzbekistan Tashkent. The term</w:t>
      </w:r>
    </w:p>
    <w:p>
      <w:pPr>
        <w:pStyle w:val="BodyText"/>
      </w:pPr>
      <w:r>
        <w:t xml:space="preserve">Lawyer</w:t>
      </w:r>
    </w:p>
    <w:p>
      <w:pPr>
        <w:pStyle w:val="BodyText"/>
      </w:pPr>
      <w:r>
        <w:t xml:space="preserve">is defined according to the Law on Advocacy and Legal Aid of the Republic of Uzbekistan. The geographical scope is strictly limited to urban legal practices within the capital city,</w:t>
      </w:r>
    </w:p>
    <w:p>
      <w:pPr>
        <w:pStyle w:val="BodyText"/>
      </w:pPr>
      <w:r>
        <w:t xml:space="preserve">Uzbekistan Tashkent.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of Lawyer Services in Uzbekistan Tashkent</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