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a</w:t>
      </w:r>
      <w:r>
        <w:t xml:space="preserve"> </w:t>
      </w:r>
      <w:r>
        <w:t xml:space="preserve">Librarian</w:t>
      </w:r>
      <w:r>
        <w:t xml:space="preserve"> </w:t>
      </w:r>
      <w:r>
        <w:t xml:space="preserve">in</w:t>
      </w:r>
      <w:r>
        <w:t xml:space="preserve"> </w:t>
      </w:r>
      <w:r>
        <w:t xml:space="preserve">Australia,</w:t>
      </w:r>
      <w:r>
        <w:t xml:space="preserve"> </w:t>
      </w:r>
      <w:r>
        <w:t xml:space="preserve">Melbourne</w:t>
      </w:r>
    </w:p>
    <w:bookmarkStart w:id="32" w:name="lab-report"/>
    <w:p>
      <w:pPr>
        <w:pStyle w:val="Heading1"/>
      </w:pPr>
      <w:r>
        <w:t xml:space="preserve">LAB REPORT</w:t>
      </w:r>
    </w:p>
    <w:p>
      <w:pPr>
        <w:pStyle w:val="FirstParagraph"/>
      </w:pPr>
      <w:r>
        <w:rPr>
          <w:bCs/>
          <w:b/>
        </w:rPr>
        <w:t xml:space="preserve">Date:</w:t>
      </w:r>
    </w:p>
    <w:p>
      <w:pPr>
        <w:pStyle w:val="BodyText"/>
      </w:pPr>
      <w:r>
        <w:rPr>
          <w:bCs/>
          <w:b/>
        </w:rPr>
        <w:t xml:space="preserve">Location:</w:t>
      </w:r>
      <w:r>
        <w:t xml:space="preserve"> </w:t>
      </w:r>
      <w:r>
        <w:t xml:space="preserve">Melbourne, Victoria, Australia</w:t>
      </w:r>
    </w:p>
    <w:p>
      <w:pPr>
        <w:pStyle w:val="BodyText"/>
      </w:pPr>
      <w:r>
        <w:br/>
      </w:r>
    </w:p>
    <w:bookmarkStart w:id="31" w:name="X9a0871c781cdb80933bd683acd5f7b1622f5502"/>
    <w:p>
      <w:pPr>
        <w:pStyle w:val="Heading2"/>
      </w:pPr>
      <w:r>
        <w:t xml:space="preserve">Subject: Analysis of the Librarian as a Knowledge Facilitator within the Victorian Public and Academic Library Systems</w:t>
      </w:r>
    </w:p>
    <w:bookmarkStart w:id="20" w:name="introduction-and-background-context"/>
    <w:p>
      <w:pPr>
        <w:pStyle w:val="Heading3"/>
      </w:pPr>
      <w:r>
        <w:t xml:space="preserve">1.0 Introduction and Background Context</w:t>
      </w:r>
    </w:p>
    <w:p>
      <w:pPr>
        <w:pStyle w:val="FirstParagraph"/>
      </w:pPr>
      <w:r>
        <w:t xml:space="preserve">The concept of a</w:t>
      </w:r>
      <w:r>
        <w:t xml:space="preserve"> </w:t>
      </w:r>
      <w:r>
        <w:rPr>
          <w:u w:val="single"/>
          <w:bCs/>
          <w:b/>
        </w:rPr>
        <w:t xml:space="preserve">Librarian</w:t>
      </w:r>
      <w:r>
        <w:t xml:space="preserve">, often perceived historically as merely a custodian of books, has undergone a radical transformation in the 21st century. In the contemporary information landscape, particularly within the vibrant cultural hub of</w:t>
      </w:r>
      <w:r>
        <w:t xml:space="preserve"> </w:t>
      </w:r>
      <w:r>
        <w:rPr>
          <w:bCs/>
          <w:b/>
        </w:rPr>
        <w:t xml:space="preserve">Australia Melbourne</w:t>
      </w:r>
      <w:r>
        <w:t xml:space="preserve">, this role has evolved into that of an active community facilitator, digital navigator, and lifelong learning advocate. This laboratory report examines the multifaceted duties of a librarian operating within Australia's capital city.</w:t>
      </w:r>
    </w:p>
    <w:p>
      <w:pPr>
        <w:pStyle w:val="BodyText"/>
      </w:pPr>
      <w:r>
        <w:t xml:space="preserve">Melbourne is renowned for its extensive public library network (Libraries Victoria) and prestigious university institutions such as the University of Melbourne and RMIT University. Consequently, understanding the operational parameters of a</w:t>
      </w:r>
      <w:r>
        <w:t xml:space="preserve"> </w:t>
      </w:r>
      <w:r>
        <w:rPr>
          <w:u w:val="single"/>
          <w:bCs/>
          <w:b/>
        </w:rPr>
        <w:t xml:space="preserve">Librarian</w:t>
      </w:r>
      <w:r>
        <w:t xml:space="preserve"> </w:t>
      </w:r>
      <w:r>
        <w:t xml:space="preserve">in this specific geographic location is crucial. The city serves as a unique microcosm where municipal services intersect with high-level academic research, creating a diverse environment for information professionals.</w:t>
      </w:r>
    </w:p>
    <w:bookmarkEnd w:id="20"/>
    <w:bookmarkStart w:id="21" w:name="objectives"/>
    <w:p>
      <w:pPr>
        <w:pStyle w:val="Heading3"/>
      </w:pPr>
      <w:r>
        <w:t xml:space="preserve">2.0 Objectives</w:t>
      </w:r>
    </w:p>
    <w:p>
      <w:pPr>
        <w:pStyle w:val="FirstParagraph"/>
      </w:pPr>
      <w:r>
        <w:t xml:space="preserve">The primary objective of this report is to document and analyze the daily workflows, ethical obligations, and technological competencies required of a librarian working in Melbourne. Specifically:</w:t>
      </w:r>
    </w:p>
    <w:p>
      <w:pPr>
        <w:pStyle w:val="BodyText"/>
      </w:pPr>
      <w:r>
        <w:br/>
      </w:r>
    </w:p>
    <w:p>
      <w:pPr>
        <w:numPr>
          <w:ilvl w:val="0"/>
          <w:numId w:val="1001"/>
        </w:numPr>
        <w:pStyle w:val="Compact"/>
      </w:pPr>
      <w:r>
        <w:t xml:space="preserve">To assess the integration of digital literacy training within</w:t>
      </w:r>
      <w:r>
        <w:t xml:space="preserve"> </w:t>
      </w:r>
      <w:r>
        <w:rPr>
          <w:bCs/>
          <w:b/>
        </w:rPr>
        <w:t xml:space="preserve">Australia Melbourne</w:t>
      </w:r>
      <w:r>
        <w:t xml:space="preserve"> </w:t>
      </w:r>
      <w:r>
        <w:t xml:space="preserve">public libraries.</w:t>
      </w:r>
    </w:p>
    <w:p>
      <w:pPr>
        <w:numPr>
          <w:ilvl w:val="0"/>
          <w:numId w:val="1001"/>
        </w:numPr>
        <w:pStyle w:val="Compact"/>
      </w:pPr>
      <w:r>
        <w:t xml:space="preserve">To evaluate the role of cultural inclusivity and support for multicultural communities in library settings.</w:t>
      </w:r>
    </w:p>
    <w:p>
      <w:pPr>
        <w:numPr>
          <w:ilvl w:val="0"/>
          <w:numId w:val="1001"/>
        </w:numPr>
        <w:pStyle w:val="Compact"/>
      </w:pPr>
      <w:r>
        <w:t xml:space="preserve">To examine how academic librarians assist researchers with data management and citation protocols at an institutional level.</w:t>
      </w:r>
    </w:p>
    <w:bookmarkEnd w:id="21"/>
    <w:bookmarkStart w:id="22" w:name="methodology"/>
    <w:p>
      <w:pPr>
        <w:pStyle w:val="Heading3"/>
      </w:pPr>
      <w:r>
        <w:t xml:space="preserve">3.0 Methodology</w:t>
      </w:r>
    </w:p>
    <w:p>
      <w:pPr>
        <w:pStyle w:val="FirstParagraph"/>
      </w:pPr>
      <w:r>
        <w:t xml:space="preserve">This report synthesizes qualitative data drawn from standard operating procedures of the State Library of Victoria, as well as professional guidelines set forth by Information Professional Australia (formerly ALIA - Australian Library and Information Association). Observational analysis was conducted regarding typical service desks in central Melbourne branches (e.g., La Trobe Reading Room) compared to local community hubs in outer suburbs like Darebin or Maribyrnong.</w:t>
      </w:r>
    </w:p>
    <w:bookmarkEnd w:id="22"/>
    <w:bookmarkStart w:id="26" w:name="results-and-analysis"/>
    <w:p>
      <w:pPr>
        <w:pStyle w:val="Heading3"/>
      </w:pPr>
      <w:r>
        <w:t xml:space="preserve">4.0 Results and Analysis</w:t>
      </w:r>
    </w:p>
    <w:bookmarkStart w:id="23" w:name="X2661e3334c70bb372cf07c5d78f395f3b5b486b"/>
    <w:p>
      <w:pPr>
        <w:pStyle w:val="Heading4"/>
      </w:pPr>
      <w:r>
        <w:t xml:space="preserve">4.1 Digital Literacy and Technological Mediation</w:t>
      </w:r>
    </w:p>
    <w:p>
      <w:pPr>
        <w:pStyle w:val="FirstParagraph"/>
      </w:pPr>
      <w:r>
        <w:br/>
      </w:r>
    </w:p>
    <w:p>
      <w:pPr>
        <w:pStyle w:val="BodyText"/>
      </w:pPr>
      <w:r>
        <w:t xml:space="preserve">In the context of</w:t>
      </w:r>
      <w:r>
        <w:t xml:space="preserve"> </w:t>
      </w:r>
      <w:r>
        <w:rPr>
          <w:bCs/>
          <w:b/>
        </w:rPr>
        <w:t xml:space="preserve">Australia Melbourne</w:t>
      </w:r>
      <w:r>
        <w:t xml:space="preserve">, a</w:t>
      </w:r>
      <w:r>
        <w:t xml:space="preserve"> </w:t>
      </w:r>
      <w:r>
        <w:rPr>
          <w:bCs/>
          <w:b/>
          <w:u w:val="single"/>
        </w:rPr>
        <w:t xml:space="preserve">Librarian</w:t>
      </w:r>
      <w:r>
        <w:t xml:space="preserve">'s most frequent interaction involves technology mediation. With digital inclusion being a priority for the Victorian government, librarians are tasked with assisting patrons who may lack access to broadband or digital skills. This includes helping residents apply for jobs online, access government services via Service Victoria portals, and utilize e-resources provided through Libraries Victoria.</w:t>
      </w:r>
    </w:p>
    <w:p>
      <w:pPr>
        <w:pStyle w:val="BodyText"/>
      </w:pPr>
      <w:r>
        <w:br/>
      </w:r>
    </w:p>
    <w:p>
      <w:pPr>
        <w:pStyle w:val="BodyText"/>
      </w:pPr>
      <w:r>
        <w:t xml:space="preserve">Furthermore, academic librarians in Melbourne universities provide instruction on navigating complex databases (such as Scopus and Web of Science). The skill set required here goes beyond simple cataloging; it demands an ability to explain information architecture to students unfamiliar with academic rigor.</w:t>
      </w:r>
    </w:p>
    <w:p>
      <w:pPr>
        <w:pStyle w:val="BodyText"/>
      </w:pPr>
      <w:r>
        <w:br/>
      </w:r>
    </w:p>
    <w:bookmarkEnd w:id="23"/>
    <w:bookmarkStart w:id="24" w:name="X31464fc91c826d7f2669249ed6eb450b7c61722"/>
    <w:p>
      <w:pPr>
        <w:pStyle w:val="Heading4"/>
      </w:pPr>
      <w:r>
        <w:t xml:space="preserve">4.2 Cultural Sensitivity and Multicultural Support</w:t>
      </w:r>
    </w:p>
    <w:p>
      <w:pPr>
        <w:pStyle w:val="FirstParagraph"/>
      </w:pPr>
      <w:r>
        <w:br/>
      </w:r>
    </w:p>
    <w:p>
      <w:pPr>
        <w:pStyle w:val="BodyText"/>
      </w:pPr>
      <w:r>
        <w:t xml:space="preserve">Melbourne is often cited as one of the most culturally diverse cities in the world. A critical aspect of being a librarian in this city is adapting services to meet the needs of non-English speaking backgrounds (NESB). Librarians must curate collections that reflect this diversity, ensuring materials are available in multiple languages. Additionally, they act as informal settlement officers, guiding new migrants through their new civic environment by providing information on healthcare, education, and employment resources.</w:t>
      </w:r>
    </w:p>
    <w:p>
      <w:pPr>
        <w:pStyle w:val="BodyText"/>
      </w:pPr>
      <w:r>
        <w:br/>
      </w:r>
    </w:p>
    <w:bookmarkEnd w:id="24"/>
    <w:bookmarkStart w:id="25" w:name="intellectual-freedom-and-ethics"/>
    <w:p>
      <w:pPr>
        <w:pStyle w:val="Heading4"/>
      </w:pPr>
      <w:r>
        <w:t xml:space="preserve">4.3 Intellectual Freedom and Ethics</w:t>
      </w:r>
    </w:p>
    <w:p>
      <w:pPr>
        <w:pStyle w:val="FirstParagraph"/>
      </w:pPr>
      <w:r>
        <w:br/>
      </w:r>
    </w:p>
    <w:p>
      <w:pPr>
        <w:pStyle w:val="BodyText"/>
      </w:pPr>
      <w:r>
        <w:t xml:space="preserve">Adhering to the principles of intellectual freedom is paramount. In Australia, librarians must balance community standards with the right to access diverse viewpoints. This involves careful collection development policies that ensure controversial materials are available while maintaining a safe space for all patrons.</w:t>
      </w:r>
    </w:p>
    <w:p>
      <w:pPr>
        <w:pStyle w:val="BodyText"/>
      </w:pPr>
      <w:r>
        <w:br/>
      </w:r>
    </w:p>
    <w:bookmarkEnd w:id="25"/>
    <w:bookmarkEnd w:id="26"/>
    <w:bookmarkStart w:id="27" w:name="discussion"/>
    <w:p>
      <w:pPr>
        <w:pStyle w:val="Heading3"/>
      </w:pPr>
      <w:r>
        <w:t xml:space="preserve">5.0 Discussion</w:t>
      </w:r>
    </w:p>
    <w:p>
      <w:pPr>
        <w:pStyle w:val="FirstParagraph"/>
      </w:pPr>
      <w:r>
        <w:t xml:space="preserve">The findings indicate that the modern</w:t>
      </w:r>
      <w:r>
        <w:t xml:space="preserve"> </w:t>
      </w:r>
      <w:r>
        <w:rPr>
          <w:u w:val="single"/>
          <w:bCs/>
          <w:b/>
        </w:rPr>
        <w:t xml:space="preserve">Librarian</w:t>
      </w:r>
      <w:r>
        <w:t xml:space="preserve"> </w:t>
      </w:r>
      <w:r>
        <w:t xml:space="preserve">in Melbourne is less of an archivist and more of an educator and community worker. The shift towards digital repositories has reduced physical shelving duties but increased the demand for virtual reference services.</w:t>
      </w:r>
    </w:p>
    <w:p>
      <w:pPr>
        <w:pStyle w:val="BodyText"/>
      </w:pPr>
      <w:r>
        <w:br/>
      </w:r>
    </w:p>
    <w:p>
      <w:pPr>
        <w:pStyle w:val="BodyText"/>
      </w:pPr>
      <w:r>
        <w:t xml:space="preserve">In academic settings, data management plans have become increasingly important due to funding requirements from Australian Research Council (ARC) grants. Librarians now frequently advise on research data storage, privacy compliance under Australian law, and open-access publishing models. This specialization highlights the need for continuous professional development within the field.</w:t>
      </w:r>
    </w:p>
    <w:p>
      <w:pPr>
        <w:pStyle w:val="BodyText"/>
      </w:pPr>
      <w:r>
        <w:br/>
      </w:r>
    </w:p>
    <w:p>
      <w:pPr>
        <w:pStyle w:val="BodyText"/>
      </w:pPr>
      <w:r>
        <w:t xml:space="preserve">Moreover, post-pandemic trends have seen a surge in hybrid library models where physical spaces are utilized for collaborative work rather than quiet study alone. The architectural design of newer libraries in Melbourne reflects this change, emphasizing maker spaces and social interaction zones.</w:t>
      </w:r>
    </w:p>
    <w:p>
      <w:pPr>
        <w:pStyle w:val="BodyText"/>
      </w:pPr>
      <w:r>
        <w:br/>
      </w:r>
    </w:p>
    <w:bookmarkEnd w:id="27"/>
    <w:bookmarkStart w:id="28" w:name="conclusion"/>
    <w:p>
      <w:pPr>
        <w:pStyle w:val="Heading3"/>
      </w:pPr>
      <w:r>
        <w:t xml:space="preserve">6.0 Conclusion</w:t>
      </w:r>
    </w:p>
    <w:p>
      <w:pPr>
        <w:pStyle w:val="FirstParagraph"/>
      </w:pPr>
      <w:r>
        <w:t xml:space="preserve">In conclusion, the role of a librarian in</w:t>
      </w:r>
      <w:r>
        <w:t xml:space="preserve"> </w:t>
      </w:r>
      <w:r>
        <w:rPr>
          <w:bCs/>
          <w:b/>
        </w:rPr>
        <w:t xml:space="preserve">Australia Melbourne</w:t>
      </w:r>
      <w:r>
        <w:t xml:space="preserve"> </w:t>
      </w:r>
      <w:r>
        <w:t xml:space="preserve">is dynamic and essential to both individual empowerment and societal cohesion. Whether working at the State Library of Victoria or a neighborhood branch, these professionals serve as vital bridges between information seekers and vast repositories of knowledge.</w:t>
      </w:r>
    </w:p>
    <w:p>
      <w:pPr>
        <w:pStyle w:val="BodyText"/>
      </w:pPr>
      <w:r>
        <w:br/>
      </w:r>
    </w:p>
    <w:p>
      <w:pPr>
        <w:pStyle w:val="BodyText"/>
      </w:pPr>
      <w:r>
        <w:t xml:space="preserve">The evidence suggests that successful librarianship today requires a blend of technical proficiency, empathetic communication skills, and deep cultural awareness. As Melbourne continues to grow as an intellectual capital, the adaptation of library services will remain key to maintaining an informed and engaged populace.</w:t>
      </w:r>
    </w:p>
    <w:p>
      <w:pPr>
        <w:pStyle w:val="BodyText"/>
      </w:pPr>
      <w:r>
        <w:br/>
      </w:r>
    </w:p>
    <w:bookmarkEnd w:id="28"/>
    <w:bookmarkStart w:id="29" w:name="recommendations-for-future-practice"/>
    <w:p>
      <w:pPr>
        <w:pStyle w:val="Heading3"/>
      </w:pPr>
      <w:r>
        <w:t xml:space="preserve">7.0 Recommendations for Future Practice</w:t>
      </w:r>
    </w:p>
    <w:p>
      <w:pPr>
        <w:numPr>
          <w:ilvl w:val="0"/>
          <w:numId w:val="1002"/>
        </w:numPr>
        <w:pStyle w:val="Compact"/>
      </w:pPr>
      <w:r>
        <w:rPr>
          <w:bCs/>
          <w:b/>
        </w:rPr>
        <w:t xml:space="preserve">Increase Digital Training Programs:</w:t>
      </w:r>
      <w:r>
        <w:t xml:space="preserve"> </w:t>
      </w:r>
      <w:r>
        <w:t xml:space="preserve">Libraries should expand workshops focused on cybersecurity awareness for elderly patrons.</w:t>
      </w:r>
    </w:p>
    <w:p>
      <w:pPr>
        <w:numPr>
          <w:ilvl w:val="0"/>
          <w:numId w:val="1002"/>
        </w:numPr>
        <w:pStyle w:val="Compact"/>
      </w:pPr>
      <w:r>
        <w:rPr>
          <w:bCs/>
          <w:b/>
        </w:rPr>
        <w:t xml:space="preserve">Collaborative Partnerships:</w:t>
      </w:r>
      <w:r>
        <w:t xml:space="preserve"> </w:t>
      </w:r>
      <w:r>
        <w:t xml:space="preserve">Academic libraries should form stronger ties with local primary schools to foster early literacy and research skills.</w:t>
      </w:r>
    </w:p>
    <w:p>
      <w:pPr>
        <w:numPr>
          <w:ilvl w:val="0"/>
          <w:numId w:val="1002"/>
        </w:numPr>
        <w:pStyle w:val="Compact"/>
      </w:pPr>
      <w:r>
        <w:rPr>
          <w:bCs/>
          <w:b/>
        </w:rPr>
        <w:t xml:space="preserve">Diverse Hiring Practices:</w:t>
      </w:r>
      <w:r>
        <w:t xml:space="preserve"> </w:t>
      </w:r>
      <w:r>
        <w:t xml:space="preserve">Recruitment for the role of librarian in Melbourne should prioritize candidates from diverse linguistic backgrounds to better serve multicultural communities.</w:t>
      </w:r>
    </w:p>
    <w:bookmarkEnd w:id="29"/>
    <w:bookmarkStart w:id="30" w:name="references"/>
    <w:p>
      <w:pPr>
        <w:pStyle w:val="Heading3"/>
      </w:pPr>
      <w:r>
        <w:t xml:space="preserve">References</w:t>
      </w:r>
    </w:p>
    <w:p>
      <w:pPr>
        <w:numPr>
          <w:ilvl w:val="0"/>
          <w:numId w:val="1003"/>
        </w:numPr>
        <w:pStyle w:val="Compact"/>
      </w:pPr>
      <w:r>
        <w:t xml:space="preserve">State Library of Victoria. (2023). Annual Report 2022-2023. Melbourne, Australia.</w:t>
      </w:r>
    </w:p>
    <w:p>
      <w:pPr>
        <w:numPr>
          <w:ilvl w:val="0"/>
          <w:numId w:val="1003"/>
        </w:numPr>
        <w:pStyle w:val="Compact"/>
      </w:pPr>
      <w:r>
        <w:t xml:space="preserve">Australian Library and Information Association (ALIA). (n.d.). Code of Ethics. Retrieved from alia.org.au</w:t>
      </w:r>
    </w:p>
    <w:p>
      <w:pPr>
        <w:numPr>
          <w:ilvl w:val="0"/>
          <w:numId w:val="1003"/>
        </w:numPr>
        <w:pStyle w:val="Compact"/>
      </w:pPr>
      <w:r>
        <w:t xml:space="preserve">Victorian Public Libraries Strategy Group. (2018). Victorian Public Libraries: A Guide to Practice.</w:t>
      </w:r>
    </w:p>
    <w:p>
      <w:pPr>
        <w:numPr>
          <w:ilvl w:val="0"/>
          <w:numId w:val="1003"/>
        </w:numPr>
        <w:pStyle w:val="Compact"/>
      </w:pPr>
      <w:r>
        <w:t xml:space="preserve">University of Melbourne Library Services. (2023). Research Support Guidelines for Postgraduate Students.</w:t>
      </w:r>
    </w:p>
    <w:p>
      <w:pPr>
        <w:pStyle w:val="FirstParagraph"/>
      </w:pPr>
      <w:r>
        <w:br/>
      </w:r>
      <w:r>
        <w:br/>
      </w:r>
    </w:p>
    <w:p>
      <w:r>
        <w:pict>
          <v:rect style="width:0;height:1.5pt" o:hralign="center" o:hrstd="t" o:hr="t"/>
        </w:pict>
      </w:r>
    </w:p>
    <w:p>
      <w:pPr>
        <w:pStyle w:val="FirstParagraph"/>
      </w:pPr>
      <w:r>
        <w:rPr>
          <w:bCs/>
          <w:b/>
        </w:rPr>
        <w:t xml:space="preserve">End of Lab Report</w:t>
      </w:r>
    </w:p>
    <w:p>
      <w:pPr>
        <w:pStyle w:val="BodyText"/>
      </w:pPr>
      <w:r>
        <w:br/>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Operational Dynamics of a Librarian in Australia, Melbourne</dc:title>
  <dc:creator/>
  <dc:language>en</dc:language>
  <cp:keywords/>
  <dcterms:created xsi:type="dcterms:W3CDTF">2026-07-29T05:02:11Z</dcterms:created>
  <dcterms:modified xsi:type="dcterms:W3CDTF">2026-07-29T05:02:11Z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