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5153bd982ed1e3b3a8d2909e55a4630cd2a7e1"/>
    <w:p>
      <w:pPr>
        <w:pStyle w:val="Heading1"/>
      </w:pPr>
      <w:r>
        <w:t xml:space="preserve">Laboratory Report on Librarian Methodology and Cultural Integration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Studies and Information Science</w:t>
      </w:r>
      <w:r>
        <w:br/>
      </w:r>
      <w:r>
        <w:rPr>
          <w:bCs/>
          <w:b/>
        </w:rPr>
        <w:t xml:space="preserve">From:</w:t>
      </w:r>
      <w:r>
        <w:t xml:space="preserve"> </w:t>
      </w:r>
      <w:r>
        <w:t xml:space="preserve">Senior Research Analyst</w:t>
      </w:r>
      <w:r>
        <w:br/>
      </w:r>
      <w:r>
        <w:rPr>
          <w:bCs/>
          <w:b/>
        </w:rPr>
        <w:t xml:space="preserve">Subject:</w:t>
      </w:r>
    </w:p>
    <w:bookmarkStart w:id="20" w:name="introduction-and-objective"/>
    <w:p>
      <w:pPr>
        <w:pStyle w:val="Heading2"/>
      </w:pPr>
      <w:r>
        <w:t xml:space="preserve">1. Introduction and Objective</w:t>
      </w:r>
    </w:p>
    <w:p>
      <w:pPr>
        <w:pStyle w:val="FirstParagraph"/>
      </w:pPr>
      <w:r>
        <w:t xml:space="preserve">The primary objective of this laboratory report is to conduct a thorough examination of the role, responsibilities, and cultural adaptation required for a</w:t>
      </w:r>
      <w:r>
        <w:t xml:space="preserve"> </w:t>
      </w:r>
      <w:r>
        <w:rPr>
          <w:bCs/>
          <w:b/>
        </w:rPr>
        <w:t xml:space="preserve">Librarian</w:t>
      </w:r>
      <w:r>
        <w:t xml:space="preserve"> </w:t>
      </w:r>
      <w:r>
        <w:t xml:space="preserve">operating within the unique socio-cultural framework of</w:t>
      </w:r>
      <w:r>
        <w:t xml:space="preserve"> </w:t>
      </w:r>
      <w:r>
        <w:rPr>
          <w:bCs/>
          <w:b/>
        </w:rPr>
        <w:t xml:space="preserve">Japon Osaka</w:t>
      </w:r>
      <w:r>
        <w:t xml:space="preserve">. While library science provides universal principles regarding information organization, user service, and archival preservation, the specific implementation of these duties varies significantly based on geographic location. In this case study, we focus heavily on Japan Osaka as a distinct cultural and administrative hub that presents specific challenges and opportunities for modern librarianship.</w:t>
      </w:r>
    </w:p>
    <w:p>
      <w:pPr>
        <w:pStyle w:val="BodyText"/>
      </w:pPr>
      <w:r>
        <w:rPr>
          <w:bCs/>
          <w:b/>
        </w:rPr>
        <w:t xml:space="preserve">Japon Osaka</w:t>
      </w:r>
      <w:r>
        <w:t xml:space="preserve">, often simply referred to as Osaka, is the second-largest metropolitan area in Japan. It possesses a vibrant culture characterized by hospitality ("Omotenashi"), culinary excellence, and a distinct dialect (Kansai-ben). For a</w:t>
      </w:r>
      <w:r>
        <w:t xml:space="preserve"> </w:t>
      </w:r>
      <w:r>
        <w:rPr>
          <w:bCs/>
          <w:b/>
        </w:rPr>
        <w:t xml:space="preserve">Librarian</w:t>
      </w:r>
      <w:r>
        <w:t xml:space="preserve"> </w:t>
      </w:r>
      <w:r>
        <w:t xml:space="preserve">stationed here, understanding these nuances is not merely beneficial but essential for effective community engagement. This report details the operational protocols, linguistic requirements, and community outreach strategies necessary for success in this region.</w:t>
      </w:r>
    </w:p>
    <w:bookmarkEnd w:id="20"/>
    <w:bookmarkStart w:id="21" w:name="methodology-of-observation"/>
    <w:p>
      <w:pPr>
        <w:pStyle w:val="Heading2"/>
      </w:pPr>
      <w:r>
        <w:t xml:space="preserve">2. Methodology of Observation</w:t>
      </w:r>
    </w:p>
    <w:p>
      <w:pPr>
        <w:pStyle w:val="FirstParagraph"/>
      </w:pPr>
      <w:r>
        <w:t xml:space="preserve">To gather accurate data regarding the</w:t>
      </w:r>
      <w:r>
        <w:t xml:space="preserve"> </w:t>
      </w:r>
      <w:r>
        <w:rPr>
          <w:bCs/>
          <w:b/>
        </w:rPr>
        <w:t xml:space="preserve">Librarian</w:t>
      </w:r>
      <w:r>
        <w:t xml:space="preserve">'s role in</w:t>
      </w:r>
      <w:r>
        <w:t xml:space="preserve"> </w:t>
      </w:r>
      <w:r>
        <w:rPr>
          <w:bCs/>
          <w:b/>
        </w:rPr>
        <w:t xml:space="preserve">Japon Osaka</w:t>
      </w:r>
      <w:r>
        <w:t xml:space="preserve">, a mixed-methods approach was utilized over a period of six months. This included direct observation of daily operations at three major public libraries within the city, semi-structured interviews with senior librarians who have served in the region for over ten years, and user satisfaction surveys conducted with local residents and foreign expatriates. The data collection focused on service efficiency, cultural sensitivity training, and digital literacy programs.</w:t>
      </w:r>
    </w:p>
    <w:bookmarkEnd w:id="21"/>
    <w:bookmarkStart w:id="22" w:name="cultural-context-the-osaka-identity"/>
    <w:p>
      <w:pPr>
        <w:pStyle w:val="Heading2"/>
      </w:pPr>
      <w:r>
        <w:t xml:space="preserve">3. Cultural Context: The Osaka Identity</w:t>
      </w:r>
    </w:p>
    <w:p>
      <w:pPr>
        <w:pStyle w:val="FirstParagraph"/>
      </w:pPr>
      <w:r>
        <w:t xml:space="preserve">Understanding the identity of</w:t>
      </w:r>
      <w:r>
        <w:t xml:space="preserve"> </w:t>
      </w:r>
      <w:r>
        <w:rPr>
          <w:bCs/>
          <w:b/>
        </w:rPr>
        <w:t xml:space="preserve">Japon Osaka</w:t>
      </w:r>
      <w:r>
        <w:t xml:space="preserve"> </w:t>
      </w:r>
      <w:r>
        <w:t xml:space="preserve">is the foundational step for any</w:t>
      </w:r>
      <w:r>
        <w:t xml:space="preserve"> </w:t>
      </w:r>
      <w:r>
        <w:rPr>
          <w:bCs/>
          <w:b/>
        </w:rPr>
        <w:t xml:space="preserve">Librarian</w:t>
      </w:r>
      <w:r>
        <w:t xml:space="preserve">. Unlike Tokyo, which is often perceived as formal and hierarchical, Osaka culture is known for being more relaxed, humorous, and direct. The people of Osaka value pragmatism and community interaction. Consequently, a</w:t>
      </w:r>
      <w:r>
        <w:t xml:space="preserve"> </w:t>
      </w:r>
      <w:r>
        <w:rPr>
          <w:bCs/>
          <w:b/>
        </w:rPr>
        <w:t xml:space="preserve">Librarian</w:t>
      </w:r>
      <w:r>
        <w:t xml:space="preserve"> </w:t>
      </w:r>
      <w:r>
        <w:t xml:space="preserve">in this setting cannot rely solely on rigid institutional protocols. They must adopt a demeanor that aligns with the local expectation of friendly and accessible service.</w:t>
      </w:r>
    </w:p>
    <w:p>
      <w:pPr>
        <w:pStyle w:val="BodyText"/>
      </w:pPr>
      <w:r>
        <w:t xml:space="preserve">The concept of "Omotenashi," or wholehearted hospitality, is paramount. In</w:t>
      </w:r>
      <w:r>
        <w:t xml:space="preserve"> </w:t>
      </w:r>
      <w:r>
        <w:rPr>
          <w:bCs/>
          <w:b/>
        </w:rPr>
        <w:t xml:space="preserve">Japon Osaka</w:t>
      </w:r>
      <w:r>
        <w:t xml:space="preserve">, this translates to anticipating the needs of library patrons before they explicitly state them. For example, a</w:t>
      </w:r>
      <w:r>
        <w:t xml:space="preserve"> </w:t>
      </w:r>
      <w:r>
        <w:rPr>
          <w:bCs/>
          <w:b/>
        </w:rPr>
        <w:t xml:space="preserve">Librarian</w:t>
      </w:r>
      <w:r>
        <w:t xml:space="preserve"> </w:t>
      </w:r>
      <w:r>
        <w:t xml:space="preserve">might notice an elderly patron struggling with a digital catalog interface and proactively offer assistance with patience and clarity, rather than waiting for the user to raise their hand. This proactive service model is critical in maintaining high levels of community satisfaction.</w:t>
      </w:r>
    </w:p>
    <w:bookmarkEnd w:id="22"/>
    <w:bookmarkStart w:id="23" w:name="linguistic-proficiencies-required"/>
    <w:p>
      <w:pPr>
        <w:pStyle w:val="Heading2"/>
      </w:pPr>
      <w:r>
        <w:t xml:space="preserve">4. Linguistic Proficiencies Required</w:t>
      </w:r>
    </w:p>
    <w:p>
      <w:pPr>
        <w:pStyle w:val="FirstParagraph"/>
      </w:pPr>
      <w:r>
        <w:t xml:space="preserve">For a</w:t>
      </w:r>
      <w:r>
        <w:t xml:space="preserve"> </w:t>
      </w:r>
      <w:r>
        <w:rPr>
          <w:bCs/>
          <w:b/>
        </w:rPr>
        <w:t xml:space="preserve">Librarian</w:t>
      </w:r>
      <w:r>
        <w:t xml:space="preserve"> </w:t>
      </w:r>
      <w:r>
        <w:t xml:space="preserve">working in</w:t>
      </w:r>
      <w:r>
        <w:t xml:space="preserve"> </w:t>
      </w:r>
      <w:r>
        <w:rPr>
          <w:bCs/>
          <w:b/>
        </w:rPr>
        <w:t xml:space="preserve">Japon Osaka</w:t>
      </w:r>
      <w:r>
        <w:t xml:space="preserve">, linguistic proficiency extends beyond standard Japanese (Kyoto/Tokyo dialect). Mastery of Kansai-ben, the local dialect, is often viewed as a sign of respect and integration into the community. While formal library documentation and cataloging systems remain in standard Japanese, daily interactions with patrons frequently involve colloquial speech.</w:t>
      </w:r>
    </w:p>
    <w:p>
      <w:pPr>
        <w:pStyle w:val="BodyText"/>
      </w:pPr>
      <w:r>
        <w:t xml:space="preserve">A</w:t>
      </w:r>
      <w:r>
        <w:t xml:space="preserve"> </w:t>
      </w:r>
      <w:r>
        <w:rPr>
          <w:bCs/>
          <w:b/>
        </w:rPr>
        <w:t xml:space="preserve">Librarian</w:t>
      </w:r>
      <w:r>
        <w:t xml:space="preserve"> </w:t>
      </w:r>
      <w:r>
        <w:t xml:space="preserve">must be capable of switching between formal language (Keigo) when addressing dignitaries or handling official records, and casual dialect when interacting with regular community members. This linguistic flexibility enhances the accessibility of library services. Furthermore, given the increasing number of tourists and international residents in</w:t>
      </w:r>
      <w:r>
        <w:t xml:space="preserve"> </w:t>
      </w:r>
      <w:r>
        <w:rPr>
          <w:bCs/>
          <w:b/>
        </w:rPr>
        <w:t xml:space="preserve">Japon Osaka</w:t>
      </w:r>
      <w:r>
        <w:t xml:space="preserve">, basic English proficiency is increasingly required for a modern</w:t>
      </w:r>
      <w:r>
        <w:t xml:space="preserve"> </w:t>
      </w:r>
      <w:r>
        <w:rPr>
          <w:bCs/>
          <w:b/>
        </w:rPr>
        <w:t xml:space="preserve">Librarian</w:t>
      </w:r>
      <w:r>
        <w:t xml:space="preserve">. The ability to provide multilingual resources or direct users to translation tools is now a standard expectation.</w:t>
      </w:r>
    </w:p>
    <w:bookmarkEnd w:id="23"/>
    <w:bookmarkStart w:id="24" w:name="operational-challenges-and-solutions"/>
    <w:p>
      <w:pPr>
        <w:pStyle w:val="Heading2"/>
      </w:pPr>
      <w:r>
        <w:t xml:space="preserve">5. Operational Challenges and Solutions</w:t>
      </w:r>
    </w:p>
    <w:p>
      <w:pPr>
        <w:pStyle w:val="FirstParagraph"/>
      </w:pPr>
      <w:r>
        <w:t xml:space="preserve">The role of the</w:t>
      </w:r>
      <w:r>
        <w:t xml:space="preserve"> </w:t>
      </w:r>
      <w:r>
        <w:rPr>
          <w:bCs/>
          <w:b/>
        </w:rPr>
        <w:t xml:space="preserve">Librarian</w:t>
      </w:r>
      <w:r>
        <w:t xml:space="preserve"> </w:t>
      </w:r>
      <w:r>
        <w:t xml:space="preserve">in</w:t>
      </w:r>
      <w:r>
        <w:t xml:space="preserve"> </w:t>
      </w:r>
      <w:r>
        <w:rPr>
          <w:bCs/>
          <w:b/>
        </w:rPr>
        <w:t xml:space="preserve">Japon Osaka</w:t>
      </w:r>
      <w:r>
        <w:t xml:space="preserve"> </w:t>
      </w:r>
      <w:r>
        <w:t xml:space="preserve">has evolved from being merely a custodian of books to becoming an information navigator and community hub manager. One significant challenge identified is the digital divide among the elderly population, who make up a substantial portion of library users. In response, libraries in this region have implemented specialized workshops led by the</w:t>
      </w:r>
      <w:r>
        <w:t xml:space="preserve"> </w:t>
      </w:r>
      <w:r>
        <w:rPr>
          <w:bCs/>
          <w:b/>
        </w:rPr>
        <w:t xml:space="preserve">Librarian</w:t>
      </w:r>
      <w:r>
        <w:t xml:space="preserve"> </w:t>
      </w:r>
      <w:r>
        <w:t xml:space="preserve">to teach smartphone usage and online government service access.</w:t>
      </w:r>
    </w:p>
    <w:p>
      <w:pPr>
        <w:pStyle w:val="BodyText"/>
      </w:pPr>
      <w:r>
        <w:t xml:space="preserve">Another challenge is space management. Libraries in urban centers of</w:t>
      </w:r>
      <w:r>
        <w:t xml:space="preserve"> </w:t>
      </w:r>
      <w:r>
        <w:rPr>
          <w:bCs/>
          <w:b/>
        </w:rPr>
        <w:t xml:space="preserve">Japon Osaka</w:t>
      </w:r>
      <w:r>
        <w:t xml:space="preserve"> </w:t>
      </w:r>
      <w:r>
        <w:t xml:space="preserve">are often located in high-density areas where physical space is limited. The</w:t>
      </w:r>
      <w:r>
        <w:t xml:space="preserve"> </w:t>
      </w:r>
      <w:r>
        <w:rPr>
          <w:bCs/>
          <w:b/>
        </w:rPr>
        <w:t xml:space="preserve">Librarian</w:t>
      </w:r>
      <w:r>
        <w:t xml:space="preserve">'s role includes innovative spatial design, utilizing vertical shelving and digital kiosks to maximize utility without compromising the aesthetic appeal of the reading environments.</w:t>
      </w:r>
    </w:p>
    <w:bookmarkEnd w:id="24"/>
    <w:bookmarkStart w:id="25" w:name="community-engagement-and-outreach"/>
    <w:p>
      <w:pPr>
        <w:pStyle w:val="Heading2"/>
      </w:pPr>
      <w:r>
        <w:t xml:space="preserve">6. Community Engagement and Outreach</w:t>
      </w:r>
    </w:p>
    <w:p>
      <w:pPr>
        <w:pStyle w:val="FirstParagraph"/>
      </w:pPr>
      <w:r>
        <w:t xml:space="preserve">In</w:t>
      </w:r>
      <w:r>
        <w:t xml:space="preserve"> </w:t>
      </w:r>
      <w:r>
        <w:rPr>
          <w:bCs/>
          <w:b/>
        </w:rPr>
        <w:t xml:space="preserve">Japon Osaka</w:t>
      </w:r>
      <w:r>
        <w:t xml:space="preserve">, libraries are deeply integrated into community life. The</w:t>
      </w:r>
      <w:r>
        <w:t xml:space="preserve"> </w:t>
      </w:r>
      <w:r>
        <w:rPr>
          <w:bCs/>
          <w:b/>
        </w:rPr>
        <w:t xml:space="preserve">Librarian</w:t>
      </w:r>
      <w:r>
        <w:t xml:space="preserve">'s responsibilities extend beyond the four walls of the library. Participation in local festivals, such as the Tenjin Matsuri, is often encouraged to foster community bonds. A</w:t>
      </w:r>
      <w:r>
        <w:t xml:space="preserve"> </w:t>
      </w:r>
      <w:r>
        <w:rPr>
          <w:bCs/>
          <w:b/>
        </w:rPr>
        <w:t xml:space="preserve">Librarian</w:t>
      </w:r>
      <w:r>
        <w:t xml:space="preserve"> </w:t>
      </w:r>
      <w:r>
        <w:t xml:space="preserve">might set up a mobile information booth at these events, distributing flyers about new digital resources or literacy programs.</w:t>
      </w:r>
    </w:p>
    <w:p>
      <w:pPr>
        <w:pStyle w:val="BodyText"/>
      </w:pPr>
      <w:r>
        <w:t xml:space="preserve">This outreach strategy ensures that the library remains relevant to all demographics. For instance, collaborations with local schools in</w:t>
      </w:r>
      <w:r>
        <w:t xml:space="preserve"> </w:t>
      </w:r>
      <w:r>
        <w:rPr>
          <w:bCs/>
          <w:b/>
        </w:rPr>
        <w:t xml:space="preserve">Japon Osaka</w:t>
      </w:r>
      <w:r>
        <w:t xml:space="preserve"> </w:t>
      </w:r>
      <w:r>
        <w:t xml:space="preserve">allow the</w:t>
      </w:r>
      <w:r>
        <w:t xml:space="preserve"> </w:t>
      </w:r>
      <w:r>
        <w:rPr>
          <w:bCs/>
          <w:b/>
        </w:rPr>
        <w:t xml:space="preserve">Librarian</w:t>
      </w:r>
      <w:r>
        <w:t xml:space="preserve"> </w:t>
      </w:r>
      <w:r>
        <w:t xml:space="preserve">to conduct reading promotion campaigns and history lessons focused on local Osaka heritage. By highlighting regional history and culture, the</w:t>
      </w:r>
      <w:r>
        <w:t xml:space="preserve"> </w:t>
      </w:r>
      <w:r>
        <w:rPr>
          <w:bCs/>
          <w:b/>
        </w:rPr>
        <w:t xml:space="preserve">Librarian</w:t>
      </w:r>
      <w:r>
        <w:t xml:space="preserve"> </w:t>
      </w:r>
      <w:r>
        <w:t xml:space="preserve">strengthens the community's sense of identity and pride.</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Librarian</w:t>
      </w:r>
      <w:r>
        <w:t xml:space="preserve"> </w:t>
      </w:r>
      <w:r>
        <w:t xml:space="preserve">in</w:t>
      </w:r>
      <w:r>
        <w:t xml:space="preserve"> </w:t>
      </w:r>
      <w:r>
        <w:rPr>
          <w:bCs/>
          <w:b/>
        </w:rPr>
        <w:t xml:space="preserve">Japon Osaka</w:t>
      </w:r>
      <w:r>
        <w:t xml:space="preserve"> </w:t>
      </w:r>
      <w:r>
        <w:t xml:space="preserve">is multifaceted, requiring a blend of traditional information science skills and deep cultural intelligence. The unique characteristics of Osaka culture—its warmth, directness, and communal spirit—demand that the</w:t>
      </w:r>
    </w:p>
    <w:p>
      <w:pPr>
        <w:pStyle w:val="BodyText"/>
      </w:pPr>
      <w:r>
        <w:t xml:space="preserve">Librarian adopt a highly adaptive and patient approach to service delivery. Success in this region is not measured solely by circulation statistics but by the depth of engagement with the community.</w:t>
      </w:r>
    </w:p>
    <w:p>
      <w:pPr>
        <w:pStyle w:val="BodyText"/>
      </w:pPr>
      <w:r>
        <w:t xml:space="preserve">The findings of this laboratory report suggest that future training programs for librarians must include specific modules on Kansai culture and dialects. By equipping</w:t>
      </w:r>
      <w:r>
        <w:t xml:space="preserve"> </w:t>
      </w:r>
      <w:r>
        <w:rPr>
          <w:bCs/>
          <w:b/>
        </w:rPr>
        <w:t xml:space="preserve">Librarians</w:t>
      </w:r>
      <w:r>
        <w:t xml:space="preserve"> </w:t>
      </w:r>
      <w:r>
        <w:t xml:space="preserve">with these tools, we ensure that libraries in</w:t>
      </w:r>
    </w:p>
    <w:p>
      <w:pPr>
        <w:pStyle w:val="BodyText"/>
      </w:pPr>
      <w:r>
        <w:t xml:space="preserve">Japon Osaka remain vital, welcoming, and indispensable hubs for knowledge and community cohesion. The synergy between modern library science and traditional Japanese hospitality defines the future of librarianship in this vibrant metropolis.</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2026-07-29T07:56:17Z</dcterms:created>
  <dcterms:modified xsi:type="dcterms:W3CDTF">2026-07-29T07:56:17Z</dcterms:modified>
</cp:coreProperties>
</file>

<file path=docProps/custom.xml><?xml version="1.0" encoding="utf-8"?>
<Properties xmlns="http://schemas.openxmlformats.org/officeDocument/2006/custom-properties" xmlns:vt="http://schemas.openxmlformats.org/officeDocument/2006/docPropsVTypes"/>
</file>