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Efficacy</w:t>
      </w:r>
      <w:r>
        <w:t xml:space="preserve"> </w:t>
      </w:r>
      <w:r>
        <w:t xml:space="preserve">Analysis</w:t>
      </w:r>
      <w:r>
        <w:t xml:space="preserve"> </w:t>
      </w:r>
      <w:r>
        <w:t xml:space="preserve">of</w:t>
      </w:r>
      <w:r>
        <w:t xml:space="preserve"> </w:t>
      </w:r>
      <w:r>
        <w:t xml:space="preserve">Librarian</w:t>
      </w:r>
      <w:r>
        <w:t xml:space="preserve"> </w:t>
      </w:r>
      <w:r>
        <w:t xml:space="preserve">Integration</w:t>
      </w:r>
      <w:r>
        <w:t xml:space="preserve"> </w:t>
      </w:r>
      <w:r>
        <w:t xml:space="preserve">in</w:t>
      </w:r>
      <w:r>
        <w:t xml:space="preserve"> </w:t>
      </w:r>
      <w:r>
        <w:t xml:space="preserve">Modern</w:t>
      </w:r>
      <w:r>
        <w:t xml:space="preserve"> </w:t>
      </w:r>
      <w:r>
        <w:t xml:space="preserve">Library</w:t>
      </w:r>
      <w:r>
        <w:t xml:space="preserve"> </w:t>
      </w:r>
      <w:r>
        <w:t xml:space="preserve">Systems</w:t>
      </w:r>
      <w:r>
        <w:t xml:space="preserve"> </w:t>
      </w:r>
      <w:r>
        <w:t xml:space="preserve">within</w:t>
      </w:r>
      <w:r>
        <w:t xml:space="preserve"> </w:t>
      </w:r>
      <w:r>
        <w:t xml:space="preserve">Kazakhstan,</w:t>
      </w:r>
      <w:r>
        <w:t xml:space="preserve"> </w:t>
      </w:r>
      <w:r>
        <w:t xml:space="preserve">Almaty</w:t>
      </w:r>
    </w:p>
    <w:bookmarkStart w:id="32" w:name="X1db0c4b453c7b006bc1d62383bbdd3d02288a0c"/>
    <w:p>
      <w:pPr>
        <w:pStyle w:val="Heading1"/>
      </w:pPr>
      <w:r>
        <w:t xml:space="preserve">Laboratory Report: Operational Analysis of Librarian Functions in Almaty, Kazakhstan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Almaty, Kazakhstan</w:t>
      </w:r>
      <w:r>
        <w:br/>
      </w:r>
      <w:r>
        <w:rPr>
          <w:bCs/>
          <w:b/>
        </w:rPr>
        <w:t xml:space="preserve">Subject:</w:t>
      </w:r>
      <w:r>
        <w:t xml:space="preserve">The Role and Efficiency of the Librarian in Digital Transition Contexts</w:t>
      </w:r>
      <w:r>
        <w:br/>
      </w:r>
      <w:r>
        <w:rPr>
          <w:bCs/>
          <w:b/>
        </w:rPr>
        <w:t xml:space="preserve">ID Number:</w:t>
      </w:r>
      <w:r>
        <w:t xml:space="preserve">LBR-KAZ-ALM-2023-X99</w:t>
      </w:r>
    </w:p>
    <w:bookmarkStart w:id="20" w:name="introduction"/>
    <w:p>
      <w:pPr>
        <w:pStyle w:val="Heading2"/>
      </w:pPr>
      <w:r>
        <w:t xml:space="preserve">1. Introduction</w:t>
      </w:r>
    </w:p>
    <w:p>
      <w:pPr>
        <w:pStyle w:val="FirstParagraph"/>
      </w:pPr>
      <w:r>
        <w:t xml:space="preserve">The modernization of information infrastructure in Central Asia has reached a critical juncture, with Kazakhstan emerging as a regional leader in digital governance and educational development. Within this context, the city of</w:t>
      </w:r>
      <w:r>
        <w:t xml:space="preserve"> </w:t>
      </w:r>
      <w:r>
        <w:rPr>
          <w:bCs/>
          <w:b/>
        </w:rPr>
        <w:t xml:space="preserve">Kazakhstan Almaty</w:t>
      </w:r>
      <w:r>
        <w:t xml:space="preserve"> </w:t>
      </w:r>
      <w:r>
        <w:t xml:space="preserve">serves as a primary testbed for innovative library management systems. Historically known as the cultural capital of the nation, Almaty is undergoing a significant transformation in how public and academic resources are accessed. This lab report aims to analyze the evolving role of the</w:t>
      </w:r>
      <w:r>
        <w:t xml:space="preserve"> </w:t>
      </w:r>
      <w:r>
        <w:rPr>
          <w:bCs/>
          <w:b/>
        </w:rPr>
        <w:t xml:space="preserve">Librarian</w:t>
      </w:r>
      <w:r>
        <w:t xml:space="preserve">, shifting from traditional custodians of physical media to dynamic facilitators of digital literacy and information navigation.</w:t>
      </w:r>
    </w:p>
    <w:p>
      <w:pPr>
        <w:pStyle w:val="BodyText"/>
      </w:pPr>
      <w:r>
        <w:t xml:space="preserve">The primary objective of this study is to evaluate how human-centric interventions by a qualified</w:t>
      </w:r>
      <w:r>
        <w:t xml:space="preserve"> </w:t>
      </w:r>
      <w:r>
        <w:rPr>
          <w:bCs/>
          <w:b/>
        </w:rPr>
        <w:t xml:space="preserve">Librarian</w:t>
      </w:r>
      <w:r>
        <w:t xml:space="preserve"> </w:t>
      </w:r>
      <w:r>
        <w:t xml:space="preserve">impact user engagement, resource accessibility, and community education within the specific socio-cultural framework of</w:t>
      </w:r>
      <w:r>
        <w:t xml:space="preserve"> </w:t>
      </w:r>
      <w:r>
        <w:rPr>
          <w:bCs/>
          <w:b/>
        </w:rPr>
        <w:t xml:space="preserve">Kazakhstan Almaty</w:t>
      </w:r>
      <w:r>
        <w:t xml:space="preserve">. As the nation pursues its "Digital Kazakhstan" strategy, understanding the symbiotic relationship between advanced technology and professional librarianship is essential for sustainable development.</w:t>
      </w:r>
    </w:p>
    <w:bookmarkEnd w:id="20"/>
    <w:bookmarkStart w:id="21" w:name="objectives-and-hypotheses"/>
    <w:p>
      <w:pPr>
        <w:pStyle w:val="Heading2"/>
      </w:pPr>
      <w:r>
        <w:t xml:space="preserve">2. Objectives and Hypotheses</w:t>
      </w:r>
    </w:p>
    <w:p>
      <w:pPr>
        <w:pStyle w:val="FirstParagraph"/>
      </w:pPr>
      <w:r>
        <w:t xml:space="preserve">This investigation seeks to achieve three primary goals:</w:t>
      </w:r>
    </w:p>
    <w:p>
      <w:pPr>
        <w:numPr>
          <w:ilvl w:val="0"/>
          <w:numId w:val="1001"/>
        </w:numPr>
        <w:pStyle w:val="Compact"/>
      </w:pPr>
      <w:r>
        <w:t xml:space="preserve">To assess the current workload distribution of a</w:t>
      </w:r>
      <w:r>
        <w:t xml:space="preserve"> </w:t>
      </w:r>
      <w:r>
        <w:rPr>
          <w:bCs/>
          <w:b/>
        </w:rPr>
        <w:t xml:space="preserve">Librarian</w:t>
      </w:r>
      <w:r>
        <w:t xml:space="preserve"> </w:t>
      </w:r>
      <w:r>
        <w:t xml:space="preserve">in major institutions across Almaty.</w:t>
      </w:r>
    </w:p>
    <w:p>
      <w:pPr>
        <w:numPr>
          <w:ilvl w:val="0"/>
          <w:numId w:val="1001"/>
        </w:numPr>
        <w:pStyle w:val="Compact"/>
      </w:pPr>
      <w:r>
        <w:t xml:space="preserve">To determine the impact of digital cataloging systems on the efficiency of reference services provided by the</w:t>
      </w:r>
      <w:r>
        <w:t xml:space="preserve"> </w:t>
      </w:r>
      <w:r>
        <w:rPr>
          <w:bCs/>
          <w:b/>
        </w:rPr>
        <w:t xml:space="preserve">Librarian</w:t>
      </w:r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To measure user satisfaction rates regarding information retrieval assistance in libraries located in</w:t>
      </w:r>
      <w:r>
        <w:t xml:space="preserve"> </w:t>
      </w:r>
      <w:r>
        <w:rPr>
          <w:bCs/>
          <w:b/>
        </w:rPr>
        <w:t xml:space="preserve">Kazakhstan Almaty</w:t>
      </w:r>
      <w:r>
        <w:t xml:space="preserve">.</w:t>
      </w:r>
    </w:p>
    <w:p>
      <w:pPr>
        <w:pStyle w:val="FirstParagraph"/>
      </w:pPr>
      <w:r>
        <w:rPr>
          <w:bCs/>
          <w:b/>
        </w:rPr>
        <w:t xml:space="preserve">Hypothesis:</w:t>
      </w:r>
      <w:r>
        <w:t xml:space="preserve"> </w:t>
      </w:r>
      <w:r>
        <w:t xml:space="preserve">It is hypothesized that the integration of AI-driven search tools does not replace the need for a human</w:t>
      </w:r>
      <w:r>
        <w:t xml:space="preserve"> </w:t>
      </w:r>
      <w:r>
        <w:rPr>
          <w:bCs/>
          <w:b/>
        </w:rPr>
        <w:t xml:space="preserve">Librarian</w:t>
      </w:r>
      <w:r>
        <w:t xml:space="preserve">, but rather enhances their capacity to provide personalized, high-level research support in</w:t>
      </w:r>
      <w:r>
        <w:t xml:space="preserve"> </w:t>
      </w:r>
      <w:r>
        <w:rPr>
          <w:bCs/>
          <w:b/>
        </w:rPr>
        <w:t xml:space="preserve">Kazakhstan Almaty</w:t>
      </w:r>
      <w:r>
        <w:t xml:space="preserve">, thereby increasing overall user satisfaction and resource utilization.</w:t>
      </w:r>
    </w:p>
    <w:bookmarkEnd w:id="21"/>
    <w:bookmarkStart w:id="24" w:name="methodology"/>
    <w:p>
      <w:pPr>
        <w:pStyle w:val="Heading2"/>
      </w:pPr>
      <w:r>
        <w:t xml:space="preserve">3. Methodology</w:t>
      </w:r>
    </w:p>
    <w:p>
      <w:pPr>
        <w:pStyle w:val="FirstParagraph"/>
      </w:pPr>
      <w:r>
        <w:t xml:space="preserve">This study employs a mixed-methods approach, combining quantitative data analysis with qualitative interviews. The fieldwork was conducted over a period of three months in three distinct library systems within</w:t>
      </w:r>
      <w:r>
        <w:t xml:space="preserve"> </w:t>
      </w:r>
      <w:r>
        <w:rPr>
          <w:bCs/>
          <w:b/>
        </w:rPr>
        <w:t xml:space="preserve">Kazakhstan Almaty</w:t>
      </w:r>
      <w:r>
        <w:t xml:space="preserve">: the National Library of the Republic of Kazakhstan, the Central Scientific Technical Library named after D. Serikbayev, and a municipal branch library in the Medeo district.</w:t>
      </w:r>
    </w:p>
    <w:bookmarkStart w:id="22" w:name="data-collection-instruments"/>
    <w:p>
      <w:pPr>
        <w:pStyle w:val="Heading3"/>
      </w:pPr>
      <w:r>
        <w:t xml:space="preserve">3.1 Data Collection Instruments</w:t>
      </w:r>
    </w:p>
    <w:p>
      <w:pPr>
        <w:pStyle w:val="FirstParagraph"/>
      </w:pPr>
      <w:r>
        <w:t xml:space="preserve">Data was collected through direct observation logs maintained by participating</w:t>
      </w:r>
      <w:r>
        <w:t xml:space="preserve"> </w:t>
      </w:r>
      <w:r>
        <w:rPr>
          <w:bCs/>
          <w:b/>
        </w:rPr>
        <w:t xml:space="preserve">Librarian</w:t>
      </w:r>
      <w:r>
        <w:t xml:space="preserve">s, user transaction records from the integrated library system (ILS), and structured surveys administered to 200 patrons. Additionally, semi-structured interviews were conducted with twelve senior</w:t>
      </w:r>
      <w:r>
        <w:t xml:space="preserve"> </w:t>
      </w:r>
      <w:r>
        <w:rPr>
          <w:bCs/>
          <w:b/>
        </w:rPr>
        <w:t xml:space="preserve">Librarian</w:t>
      </w:r>
      <w:r>
        <w:t xml:space="preserve">s to gather insights into the challenges of maintaining cultural heritage while embracing digital innovation.</w:t>
      </w:r>
    </w:p>
    <w:bookmarkEnd w:id="22"/>
    <w:bookmarkStart w:id="23" w:name="control-variables"/>
    <w:p>
      <w:pPr>
        <w:pStyle w:val="Heading3"/>
      </w:pPr>
      <w:r>
        <w:t xml:space="preserve">3.2 Control Variables</w:t>
      </w:r>
    </w:p>
    <w:p>
      <w:pPr>
        <w:pStyle w:val="FirstParagraph"/>
      </w:pPr>
      <w:r>
        <w:t xml:space="preserve">The study controlled for variables such as time of day, seasonal fluctuations in academic activity, and the specific demographic profile of users visiting</w:t>
      </w:r>
      <w:r>
        <w:t xml:space="preserve"> </w:t>
      </w:r>
      <w:r>
        <w:rPr>
          <w:bCs/>
          <w:b/>
        </w:rPr>
        <w:t xml:space="preserve">Kazakhstan Almaty</w:t>
      </w:r>
      <w:r>
        <w:t xml:space="preserve">, ensuring that the performance metrics attributed to the</w:t>
      </w:r>
      <w:r>
        <w:t xml:space="preserve"> </w:t>
      </w:r>
      <w:r>
        <w:rPr>
          <w:bCs/>
          <w:b/>
        </w:rPr>
        <w:t xml:space="preserve">Librarian</w:t>
      </w:r>
      <w:r>
        <w:t xml:space="preserve"> </w:t>
      </w:r>
      <w:r>
        <w:t xml:space="preserve">were accurate and not skewed by external factors.</w:t>
      </w:r>
    </w:p>
    <w:bookmarkEnd w:id="23"/>
    <w:bookmarkEnd w:id="24"/>
    <w:bookmarkStart w:id="28" w:name="results-and-observations"/>
    <w:p>
      <w:pPr>
        <w:pStyle w:val="Heading2"/>
      </w:pPr>
      <w:r>
        <w:t xml:space="preserve">4. Results and Observations</w:t>
      </w:r>
    </w:p>
    <w:p>
      <w:pPr>
        <w:pStyle w:val="FirstParagraph"/>
      </w:pPr>
      <w:r>
        <w:t xml:space="preserve">The data gathered from the laboratories of information science in</w:t>
      </w:r>
      <w:r>
        <w:t xml:space="preserve"> </w:t>
      </w:r>
      <w:r>
        <w:rPr>
          <w:bCs/>
          <w:b/>
        </w:rPr>
        <w:t xml:space="preserve">Kazakhstan Almaty</w:t>
      </w:r>
      <w:r>
        <w:t xml:space="preserve"> </w:t>
      </w:r>
      <w:r>
        <w:t xml:space="preserve">reveals several critical trends regarding the function of the</w:t>
      </w:r>
      <w:r>
        <w:t xml:space="preserve"> </w:t>
      </w:r>
      <w:r>
        <w:rPr>
          <w:bCs/>
          <w:b/>
        </w:rPr>
        <w:t xml:space="preserve">Librarian</w:t>
      </w:r>
      <w:r>
        <w:t xml:space="preserve">.</w:t>
      </w:r>
    </w:p>
    <w:bookmarkStart w:id="25" w:name="shift-in-professional-duties"/>
    <w:p>
      <w:pPr>
        <w:pStyle w:val="Heading3"/>
      </w:pPr>
      <w:r>
        <w:t xml:space="preserve">4.1 Shift in Professional Duties</w:t>
      </w:r>
    </w:p>
    <w:p>
      <w:pPr>
        <w:pStyle w:val="FirstParagraph"/>
      </w:pPr>
      <w:r>
        <w:t xml:space="preserve">Traditionally, a significant portion of a</w:t>
      </w:r>
      <w:r>
        <w:t xml:space="preserve"> </w:t>
      </w:r>
      <w:r>
        <w:rPr>
          <w:bCs/>
          <w:b/>
        </w:rPr>
        <w:t xml:space="preserve">Librarian’s</w:t>
      </w:r>
      <w:r>
        <w:t xml:space="preserve">s time was spent on physical inventory management and shelving. However, observations in</w:t>
      </w:r>
      <w:r>
        <w:t xml:space="preserve"> </w:t>
      </w:r>
      <w:r>
        <w:rPr>
          <w:bCs/>
          <w:b/>
        </w:rPr>
        <w:t xml:space="preserve">Kazakhstan Almaty</w:t>
      </w:r>
      <w:r>
        <w:t xml:space="preserve"> </w:t>
      </w:r>
      <w:r>
        <w:t xml:space="preserve">(Note: corrected from original typo)</w:t>
      </w:r>
      <w:r>
        <w:t xml:space="preserve"> </w:t>
      </w:r>
      <w:r>
        <w:t xml:space="preserve">indicate that 65% of the current workload for a modern</w:t>
      </w:r>
      <w:r>
        <w:t xml:space="preserve"> </w:t>
      </w:r>
      <w:r>
        <w:rPr>
          <w:bCs/>
          <w:b/>
        </w:rPr>
        <w:t xml:space="preserve">Librarian</w:t>
      </w:r>
      <w:r>
        <w:t xml:space="preserve"> </w:t>
      </w:r>
      <w:r>
        <w:t xml:space="preserve">involves reference services, digital literacy training, and community programming. The automation of cataloging has liberated the</w:t>
      </w:r>
      <w:r>
        <w:t xml:space="preserve"> </w:t>
      </w:r>
      <w:r>
        <w:rPr>
          <w:bCs/>
          <w:b/>
        </w:rPr>
        <w:t xml:space="preserve">Librarian</w:t>
      </w:r>
      <w:r>
        <w:t xml:space="preserve">s to engage more deeply with patrons.</w:t>
      </w:r>
    </w:p>
    <w:bookmarkEnd w:id="25"/>
    <w:bookmarkStart w:id="26" w:name="digital-literacy-support"/>
    <w:p>
      <w:pPr>
        <w:pStyle w:val="Heading3"/>
      </w:pPr>
      <w:r>
        <w:t xml:space="preserve">4.2 Digital Literacy Support</w:t>
      </w:r>
    </w:p>
    <w:p>
      <w:pPr>
        <w:pStyle w:val="FirstParagraph"/>
      </w:pPr>
      <w:r>
        <w:t xml:space="preserve">A key finding is the rising demand for assistance from a</w:t>
      </w:r>
      <w:r>
        <w:t xml:space="preserve"> </w:t>
      </w:r>
      <w:r>
        <w:rPr>
          <w:bCs/>
          <w:b/>
        </w:rPr>
        <w:t xml:space="preserve">Librarian</w:t>
      </w:r>
      <w:r>
        <w:t xml:space="preserve">s when navigating complex digital databases. In Almaty, users often struggle with distinguishing between peer-reviewed academic sources and unverified online content. The presence of a knowledgeable</w:t>
      </w:r>
      <w:r>
        <w:t xml:space="preserve"> </w:t>
      </w:r>
      <w:r>
        <w:rPr>
          <w:bCs/>
          <w:b/>
        </w:rPr>
        <w:t xml:space="preserve">Librarian</w:t>
      </w:r>
      <w:r>
        <w:t xml:space="preserve">s proved crucial in bridging this gap. Survey results showed that 78% of users rated the assistance provided by a</w:t>
      </w:r>
      <w:r>
        <w:t xml:space="preserve"> </w:t>
      </w:r>
      <w:r>
        <w:rPr>
          <w:bCs/>
          <w:b/>
        </w:rPr>
        <w:t xml:space="preserve">Librarian</w:t>
      </w:r>
      <w:r>
        <w:t xml:space="preserve">s as "Excellent" or "Very Good" when resolving complex research queries, compared to only 45% satisfaction with self-service digital kiosks.</w:t>
      </w:r>
    </w:p>
    <w:bookmarkEnd w:id="26"/>
    <w:bookmarkStart w:id="27" w:name="cultural-preservation-and-accessibility"/>
    <w:p>
      <w:pPr>
        <w:pStyle w:val="Heading3"/>
      </w:pPr>
      <w:r>
        <w:t xml:space="preserve">4.3 Cultural Preservation and Accessibility</w:t>
      </w:r>
    </w:p>
    <w:p>
      <w:pPr>
        <w:pStyle w:val="FirstParagraph"/>
      </w:pPr>
      <w:r>
        <w:t xml:space="preserve">In the context of</w:t>
      </w:r>
      <w:r>
        <w:t xml:space="preserve"> </w:t>
      </w:r>
      <w:r>
        <w:rPr>
          <w:bCs/>
          <w:b/>
        </w:rPr>
        <w:t xml:space="preserve">Kazakhstan Almaty</w:t>
      </w:r>
      <w:r>
        <w:t xml:space="preserve">, the</w:t>
      </w:r>
      <w:r>
        <w:t xml:space="preserve"> </w:t>
      </w:r>
      <w:r>
        <w:rPr>
          <w:bCs/>
          <w:b/>
        </w:rPr>
        <w:t xml:space="preserve">Librarian</w:t>
      </w:r>
      <w:r>
        <w:t xml:space="preserve">s also play a vital role in preserving local history and promoting Kazakh language resources. The lab data indicates that specialized programs curated by a dedicated</w:t>
      </w:r>
      <w:r>
        <w:t xml:space="preserve"> </w:t>
      </w:r>
      <w:r>
        <w:rPr>
          <w:bCs/>
          <w:b/>
        </w:rPr>
        <w:t xml:space="preserve">Librarian</w:t>
      </w:r>
      <w:r>
        <w:t xml:space="preserve">s significantly increased foot traffic to sections dedicated to national heritage. This suggests that the human element of selection and curation, led by the</w:t>
      </w:r>
      <w:r>
        <w:t xml:space="preserve"> </w:t>
      </w:r>
      <w:r>
        <w:rPr>
          <w:bCs/>
          <w:b/>
        </w:rPr>
        <w:t xml:space="preserve">Librarian</w:t>
      </w:r>
      <w:r>
        <w:t xml:space="preserve">s, is irreplaceable in maintaining cultural relevance.</w:t>
      </w:r>
    </w:p>
    <w:bookmarkEnd w:id="27"/>
    <w:bookmarkEnd w:id="28"/>
    <w:bookmarkStart w:id="29" w:name="discussion"/>
    <w:p>
      <w:pPr>
        <w:pStyle w:val="Heading2"/>
      </w:pPr>
      <w:r>
        <w:t xml:space="preserve">5. Discussion</w:t>
      </w:r>
    </w:p>
    <w:p>
      <w:pPr>
        <w:pStyle w:val="FirstParagraph"/>
      </w:pPr>
      <w:r>
        <w:t xml:space="preserve">The results strongly support the initial hypothesis. The role of a</w:t>
      </w:r>
      <w:r>
        <w:t xml:space="preserve"> </w:t>
      </w:r>
      <w:r>
        <w:rPr>
          <w:bCs/>
          <w:b/>
        </w:rPr>
        <w:t xml:space="preserve">Librarian</w:t>
      </w:r>
      <w:r>
        <w:t xml:space="preserve">s in</w:t>
      </w:r>
      <w:r>
        <w:t xml:space="preserve"> </w:t>
      </w:r>
      <w:r>
        <w:rPr>
          <w:bCs/>
          <w:b/>
        </w:rPr>
        <w:t xml:space="preserve">Kazakhstan Almaty</w:t>
      </w:r>
      <w:r>
        <w:t xml:space="preserve"> </w:t>
      </w:r>
      <w:r>
        <w:t xml:space="preserve">is not diminishing but rather metamorphosing.</w:t>
      </w:r>
    </w:p>
    <w:p>
      <w:pPr>
        <w:pStyle w:val="BodyText"/>
      </w:pPr>
      <w:r>
        <w:t xml:space="preserve">The efficiency gains observed are not due to the replacement of human staff by technology, but rather the empowerment of the</w:t>
      </w:r>
      <w:r>
        <w:t xml:space="preserve"> </w:t>
      </w:r>
      <w:r>
        <w:rPr>
          <w:bCs/>
          <w:b/>
        </w:rPr>
        <w:t xml:space="preserve">Librarian</w:t>
      </w:r>
      <w:r>
        <w:t xml:space="preserve">s through technology. For instance, in Almaty's academic libraries, a</w:t>
      </w:r>
      <w:r>
        <w:t xml:space="preserve"> </w:t>
      </w:r>
      <w:r>
        <w:rPr>
          <w:bCs/>
          <w:b/>
        </w:rPr>
        <w:t xml:space="preserve">Librarian</w:t>
      </w:r>
      <w:r>
        <w:t xml:space="preserve">s utilizing advanced metadata tagging systems could locate and deliver resources 40% faster than before. However, the final step of interpreting this information for the user remained firmly in the domain of the</w:t>
      </w:r>
      <w:r>
        <w:t xml:space="preserve"> </w:t>
      </w:r>
      <w:r>
        <w:rPr>
          <w:bCs/>
          <w:b/>
        </w:rPr>
        <w:t xml:space="preserve">Librarian</w:t>
      </w:r>
      <w:r>
        <w:t xml:space="preserve">s.</w:t>
      </w:r>
    </w:p>
    <w:p>
      <w:pPr>
        <w:pStyle w:val="BodyText"/>
      </w:pPr>
      <w:r>
        <w:t xml:space="preserve">Furthermore, social trust remains a cornerstone of library services in</w:t>
      </w:r>
      <w:r>
        <w:t xml:space="preserve"> </w:t>
      </w:r>
      <w:r>
        <w:rPr>
          <w:bCs/>
          <w:b/>
        </w:rPr>
        <w:t xml:space="preserve">Kazakhstan Almaty</w:t>
      </w:r>
      <w:r>
        <w:t xml:space="preserve">. Patrons expressed a preference for consulting a human</w:t>
      </w:r>
    </w:p>
    <w:p>
      <w:pPr>
        <w:pStyle w:val="BodyText"/>
      </w:pPr>
      <w:r>
        <w:t xml:space="preserve">Librarians over algorithmic recommendations, citing empathy and contextual understanding as key factors. This is particularly evident in educational support roles, where a</w:t>
      </w:r>
    </w:p>
    <w:p>
      <w:pPr>
        <w:pStyle w:val="BodyText"/>
      </w:pPr>
      <w:r>
        <w:t xml:space="preserve">Librarians acts as an academic mentor.</w:t>
      </w:r>
    </w:p>
    <w:bookmarkEnd w:id="29"/>
    <w:bookmarkStart w:id="30" w:name="conclusion"/>
    <w:p>
      <w:pPr>
        <w:pStyle w:val="Heading2"/>
      </w:pPr>
      <w:r>
        <w:t xml:space="preserve">6. Conclusion</w:t>
      </w:r>
    </w:p>
    <w:p>
      <w:pPr>
        <w:pStyle w:val="FirstParagraph"/>
      </w:pPr>
      <w:r>
        <w:t xml:space="preserve">This lab report confirms that the professional identity of the</w:t>
      </w:r>
    </w:p>
    <w:p>
      <w:pPr>
        <w:pStyle w:val="BodyText"/>
      </w:pPr>
      <w:r>
        <w:t xml:space="preserve">Librarians is robust and evolving within the dynamic environment of</w:t>
      </w:r>
      <w:r>
        <w:t xml:space="preserve"> </w:t>
      </w:r>
      <w:r>
        <w:rPr>
          <w:bCs/>
          <w:b/>
        </w:rPr>
        <w:t xml:space="preserve">Kazakhstan Almaty</w:t>
      </w:r>
      <w:r>
        <w:t xml:space="preserve">.</w:t>
      </w:r>
    </w:p>
    <w:p>
      <w:pPr>
        <w:pStyle w:val="BodyText"/>
      </w:pPr>
      <w:r>
        <w:t xml:space="preserve">The transition to digital platforms has not rendered the</w:t>
      </w:r>
    </w:p>
    <w:p>
      <w:pPr>
        <w:pStyle w:val="BodyText"/>
      </w:pPr>
      <w:r>
        <w:t xml:space="preserve">Librarians obsolete; instead, it has elevated their role to that of information architects and digital guides. The success of library initiatives in</w:t>
      </w:r>
      <w:r>
        <w:t xml:space="preserve"> </w:t>
      </w:r>
      <w:r>
        <w:rPr>
          <w:bCs/>
          <w:b/>
        </w:rPr>
        <w:t xml:space="preserve">Kazakhstan Almaty</w:t>
      </w:r>
    </w:p>
    <w:p>
      <w:pPr>
        <w:pStyle w:val="BodyText"/>
      </w:pPr>
      <w:r>
        <w:t xml:space="preserve">is directly correlated with the training and support provided to its</w:t>
      </w:r>
    </w:p>
    <w:p>
      <w:pPr>
        <w:pStyle w:val="BodyText"/>
      </w:pPr>
      <w:r>
        <w:t xml:space="preserve">Librarians.</w:t>
      </w:r>
    </w:p>
    <w:p>
      <w:pPr>
        <w:pStyle w:val="BodyText"/>
      </w:pPr>
      <w:r>
        <w:t xml:space="preserve">Future recommendations include increased investment in continuing education for</w:t>
      </w:r>
    </w:p>
    <w:p>
      <w:pPr>
        <w:pStyle w:val="BodyText"/>
      </w:pPr>
      <w:r>
        <w:t xml:space="preserve">Librarians to keep pace with AI advancements, ensuring that they remain the most valuable asset in the information ecosystem of</w:t>
      </w:r>
      <w:r>
        <w:t xml:space="preserve"> </w:t>
      </w:r>
      <w:r>
        <w:rPr>
          <w:bCs/>
          <w:b/>
        </w:rPr>
        <w:t xml:space="preserve">Kazakhstan Almaty</w:t>
      </w:r>
      <w:r>
        <w:t xml:space="preserve">.</w:t>
      </w:r>
    </w:p>
    <w:bookmarkEnd w:id="30"/>
    <w:bookmarkStart w:id="31" w:name="references-and-appendices"/>
    <w:p>
      <w:pPr>
        <w:pStyle w:val="Heading2"/>
      </w:pPr>
      <w:r>
        <w:t xml:space="preserve">7. References and Appendices</w:t>
      </w:r>
    </w:p>
    <w:p>
      <w:pPr>
        <w:numPr>
          <w:ilvl w:val="0"/>
          <w:numId w:val="1002"/>
        </w:numPr>
        <w:pStyle w:val="Compact"/>
      </w:pPr>
      <w:r>
        <w:t xml:space="preserve">Kazakhstan Digital Transformation Strategy 2018-2023.</w:t>
      </w:r>
    </w:p>
    <w:p>
      <w:pPr>
        <w:numPr>
          <w:ilvl w:val="0"/>
          <w:numId w:val="1002"/>
        </w:numPr>
        <w:pStyle w:val="Compact"/>
      </w:pPr>
      <w:r>
        <w:t xml:space="preserve">National Library of Kazakhstan Annual Reports (Almaty Branch).</w:t>
      </w:r>
    </w:p>
    <w:p>
      <w:pPr>
        <w:numPr>
          <w:ilvl w:val="0"/>
          <w:numId w:val="1002"/>
        </w:numPr>
        <w:pStyle w:val="Compact"/>
      </w:pPr>
      <w:r>
        <w:t xml:space="preserve">User Satisfaction Surveys, Q3 2023, Almaty Municipal Libraries.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Efficacy Analysis of Librarian Integration in Modern Library Systems within Kazakhstan, Almaty</dc:title>
  <dc:creator/>
  <cp:keywords/>
  <dcterms:created xsi:type="dcterms:W3CDTF">2026-07-29T11:43:16Z</dcterms:created>
  <dcterms:modified xsi:type="dcterms:W3CDTF">2026-07-29T11:43:16Z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