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Marine</w:t>
      </w:r>
      <w:r>
        <w:t xml:space="preserve"> </w:t>
      </w:r>
      <w:r>
        <w:t xml:space="preserve">Engineering</w:t>
      </w:r>
      <w:r>
        <w:t xml:space="preserve"> </w:t>
      </w:r>
      <w:r>
        <w:t xml:space="preserve">Practices</w:t>
      </w:r>
      <w:r>
        <w:t xml:space="preserve"> </w:t>
      </w:r>
      <w:r>
        <w:t xml:space="preserve">in</w:t>
      </w:r>
      <w:r>
        <w:t xml:space="preserve"> </w:t>
      </w:r>
      <w:r>
        <w:t xml:space="preserve">Argentina</w:t>
      </w:r>
      <w:r>
        <w:t xml:space="preserve"> </w:t>
      </w:r>
      <w:r>
        <w:t xml:space="preserve">Buenos</w:t>
      </w:r>
      <w:r>
        <w:t xml:space="preserve"> </w:t>
      </w:r>
      <w:r>
        <w:t xml:space="preserve">Aires</w:t>
      </w:r>
    </w:p>
    <w:bookmarkStart w:id="29" w:name="X8d934d5c5e8f57fd34c53e986775b816da747cf"/>
    <w:p>
      <w:pPr>
        <w:pStyle w:val="Heading1"/>
      </w:pPr>
      <w:r>
        <w:t xml:space="preserve">Laboratory Report on Marine Engineering Systems</w:t>
      </w:r>
    </w:p>
    <w:p>
      <w:pPr>
        <w:pStyle w:val="FirstParagraph"/>
      </w:pPr>
      <w:r>
        <w:rPr>
          <w:bCs/>
          <w:b/>
        </w:rPr>
        <w:t xml:space="preserve">Date:</w:t>
      </w:r>
      <w:r>
        <w:t xml:space="preserve"> </w:t>
      </w:r>
      <w:r>
        <w:t xml:space="preserve">October 24, 2023</w:t>
      </w:r>
    </w:p>
    <w:p>
      <w:pPr>
        <w:pStyle w:val="BodyText"/>
      </w:pPr>
      <w:r>
        <w:rPr>
          <w:bCs/>
          <w:b/>
        </w:rPr>
        <w:t xml:space="preserve">Institution:</w:t>
      </w:r>
      <w:r>
        <w:t xml:space="preserve"> </w:t>
      </w:r>
      <w:r>
        <w:t xml:space="preserve">Technical Institute of Port and Maritime Studies</w:t>
      </w:r>
      <w:r>
        <w:br/>
      </w:r>
      <w:r>
        <w:rPr>
          <w:iCs/>
          <w:i/>
        </w:rPr>
        <w:t xml:space="preserve">Affiliated with the Port Infrastructure of Argentina Buenos Aires</w:t>
      </w:r>
    </w:p>
    <w:p>
      <w:pPr>
        <w:pStyle w:val="BodyText"/>
      </w:pPr>
      <w:r>
        <w:t xml:space="preserve">Subject:</w:t>
      </w:r>
    </w:p>
    <w:p>
      <w:pPr>
        <w:pStyle w:val="BodyText"/>
      </w:pPr>
      <w:r>
        <w:t xml:space="preserve">&gt;</w:t>
      </w:r>
    </w:p>
    <w:p>
      <w:pPr>
        <w:pStyle w:val="BodyText"/>
      </w:pPr>
      <w:r>
        <w:t xml:space="preserve">&gt;</w:t>
      </w:r>
    </w:p>
    <w:p>
      <w:pPr>
        <w:pStyle w:val="BodyText"/>
      </w:pPr>
      <w:r>
        <w:t xml:space="preserve">Captain R. Mendez</w:t>
      </w:r>
      <w:r>
        <w:br/>
      </w:r>
      <w:r>
        <w:t xml:space="preserve">Lieutenant J. Soto</w:t>
      </w:r>
    </w:p>
    <w:p>
      <w:pPr>
        <w:pStyle w:val="BodyText"/>
      </w:pPr>
      <w:r>
        <w:t xml:space="preserve">MV *Río de la Plata*, Vessel ID #8842-BUEN</w:t>
      </w:r>
    </w:p>
    <w:p>
      <w:pPr>
        <w:pStyle w:val="BodyText"/>
      </w:pPr>
      <w:r>
        <w:t xml:space="preserve">Dry Dock Maintenance Cycle 2023-Q3</w:t>
      </w:r>
    </w:p>
    <w:p>
      <w:pPr>
        <w:pStyle w:val="BodyText"/>
      </w:pPr>
      <w:r>
        <w:t xml:space="preserve">&gt;</w:t>
      </w:r>
    </w:p>
    <w:p>
      <w:pPr>
        <w:pStyle w:val="BodyText"/>
      </w:pPr>
      <w:r>
        <w:t xml:space="preserve">&gt;</w:t>
      </w:r>
    </w:p>
    <w:p>
      <w:pPr>
        <w:pStyle w:val="BodyText"/>
      </w:pPr>
      <w:r>
        <w:t xml:space="preserve">&gt;</w:t>
      </w:r>
    </w:p>
    <w:bookmarkStart w:id="20" w:name="introduction-and-contextual-framework"/>
    <w:p>
      <w:pPr>
        <w:pStyle w:val="Heading2"/>
      </w:pPr>
      <w:r>
        <w:t xml:space="preserve">1. Introduction and Contextual Framework</w:t>
      </w:r>
    </w:p>
    <w:p>
      <w:pPr>
        <w:pStyle w:val="FirstParagraph"/>
      </w:pPr>
      <w:r>
        <w:t xml:space="preserve">The primary objective of this laboratory report is to document the structural integrity analysis, propulsion efficiency testing, and auxiliary system diagnostics performed aboard commercial vessels operating within the exclusive economic zone and port limits of</w:t>
      </w:r>
      <w:r>
        <w:t xml:space="preserve"> </w:t>
      </w:r>
      <w:r>
        <w:rPr>
          <w:bCs/>
          <w:b/>
        </w:rPr>
        <w:t xml:space="preserve">Argentina Buenos Aires</w:t>
      </w:r>
      <w:r>
        <w:t xml:space="preserve">. As a critical hub for South American logistics, the port infrastructure located here serves as a gateway for bulk exports and containerized goods. Consequently, the role of the</w:t>
      </w:r>
      <w:r>
        <w:t xml:space="preserve"> </w:t>
      </w:r>
      <w:r>
        <w:rPr>
          <w:bCs/>
          <w:b/>
        </w:rPr>
        <w:t xml:space="preserve">Marine Engineer</w:t>
      </w:r>
      <w:r>
        <w:t xml:space="preserve"> </w:t>
      </w:r>
      <w:r>
        <w:t xml:space="preserve">is not merely maintenance-oriented but also involves rigorous regulatory compliance with both local maritime authorities and international safety standards.</w:t>
      </w:r>
    </w:p>
    <w:p>
      <w:pPr>
        <w:pStyle w:val="BodyText"/>
      </w:pPr>
      <w:r>
        <w:t xml:space="preserve">This report details experimental data collected during the quarterly dry dock inspection phase. The focus lies on diesel-electric propulsion systems, hydraulic steering gears, and ballast water management systems. Given the specific environmental conditions of the Río de la Plata estuary—characterized by fluctuating salinity levels and significant tidal ranges—the engineering parameters must be calibrated specifically for this region. The</w:t>
      </w:r>
      <w:r>
        <w:t xml:space="preserve"> </w:t>
      </w:r>
      <w:r>
        <w:rPr>
          <w:bCs/>
          <w:b/>
        </w:rPr>
        <w:t xml:space="preserve">Marine Engineer</w:t>
      </w:r>
      <w:r>
        <w:t xml:space="preserve"> </w:t>
      </w:r>
      <w:r>
        <w:t xml:space="preserve">plays a pivotal role in ensuring that machinery performs optimally under these variable hydrodynamic stresses.</w:t>
      </w:r>
    </w:p>
    <w:bookmarkEnd w:id="20"/>
    <w:bookmarkStart w:id="21" w:name="laboratory-methodology-and-equipment"/>
    <w:p>
      <w:pPr>
        <w:pStyle w:val="Heading2"/>
      </w:pPr>
      <w:r>
        <w:t xml:space="preserve">2. Laboratory Methodology and Equipment</w:t>
      </w:r>
    </w:p>
    <w:p>
      <w:pPr>
        <w:pStyle w:val="FirstParagraph"/>
      </w:pPr>
      <w:r>
        <w:t xml:space="preserve">&gt;</w:t>
      </w:r>
    </w:p>
    <w:p>
      <w:pPr>
        <w:pStyle w:val="BodyText"/>
      </w:pPr>
      <w:r>
        <w:t xml:space="preserve">The laboratory tests were conducted using standard maritime diagnostic equipment certified by the International Organization for Standardization (ISO). Key instruments included ultrasonic thickness gauges for hull and piping integrity, thermal imaging cameras for electrical switchgear analysis, and vibration analyzers for main engine alignment verification.</w:t>
      </w:r>
    </w:p>
    <w:p>
      <w:pPr>
        <w:pStyle w:val="BodyText"/>
      </w:pPr>
      <w:r>
        <w:t xml:space="preserve">All procedures adhered strictly to the</w:t>
      </w:r>
      <w:r>
        <w:t xml:space="preserve"> </w:t>
      </w:r>
      <w:r>
        <w:rPr>
          <w:bCs/>
          <w:b/>
        </w:rPr>
        <w:t xml:space="preserve">Lab Report</w:t>
      </w:r>
      <w:r>
        <w:t xml:space="preserve"> </w:t>
      </w:r>
      <w:r>
        <w:t xml:space="preserve">protocols established by the national maritime safety agency. The testing environment simulated both full-load operational conditions and idle states to evaluate system responsiveness. Particular attention was paid to fuel injection pressures and exhaust gas temperatures, which are critical indicators of combustion efficiency in marine diesel engines.</w:t>
      </w:r>
    </w:p>
    <w:bookmarkEnd w:id="21"/>
    <w:bookmarkStart w:id="25" w:name="experimental-procedures"/>
    <w:p>
      <w:pPr>
        <w:pStyle w:val="Heading2"/>
      </w:pPr>
      <w:r>
        <w:t xml:space="preserve">3. Experimental Procedures</w:t>
      </w:r>
    </w:p>
    <w:p>
      <w:pPr>
        <w:pStyle w:val="FirstParagraph"/>
      </w:pPr>
      <w:r>
        <w:t xml:space="preserve">&gt;</w:t>
      </w:r>
    </w:p>
    <w:bookmarkStart w:id="22" w:name="propulsion-system-diagnostics"/>
    <w:p>
      <w:pPr>
        <w:pStyle w:val="Heading3"/>
      </w:pPr>
      <w:r>
        <w:t xml:space="preserve">3.1 Propulsion System Diagnostics</w:t>
      </w:r>
    </w:p>
    <w:p>
      <w:pPr>
        <w:pStyle w:val="FirstParagraph"/>
      </w:pPr>
      <w:r>
        <w:t xml:space="preserve">&gt;</w:t>
      </w:r>
    </w:p>
    <w:p>
      <w:pPr>
        <w:pStyle w:val="BodyText"/>
      </w:pPr>
      <w:r>
        <w:t xml:space="preserve">The main propulsion engine, a two-stroke cycle diesel unit, underwent a comprehensive performance test. Data was recorded at 10%, 50%, and 100% of maximum continuous rating (MCR). The</w:t>
      </w:r>
      <w:r>
        <w:t xml:space="preserve"> </w:t>
      </w:r>
      <w:r>
        <w:rPr>
          <w:bCs/>
          <w:b/>
        </w:rPr>
        <w:t xml:space="preserve">Marine Engineer</w:t>
      </w:r>
      <w:r>
        <w:t xml:space="preserve"> </w:t>
      </w:r>
      <w:r>
        <w:t xml:space="preserve">on duty monitored cylinder pressures, lubrication oil viscosity, and coolant temperatures throughout the trial. Special emphasis was placed on the condition of the turbochargers, which are susceptible to corrosion in salt-heavy environments typical of coastal operations in</w:t>
      </w:r>
      <w:r>
        <w:t xml:space="preserve"> </w:t>
      </w:r>
      <w:r>
        <w:rPr>
          <w:bCs/>
          <w:b/>
        </w:rPr>
        <w:t xml:space="preserve">Argentina Buenos Aires</w:t>
      </w:r>
      <w:r>
        <w:t xml:space="preserve">.</w:t>
      </w:r>
    </w:p>
    <w:p>
      <w:pPr>
        <w:pStyle w:val="BodyText"/>
      </w:pPr>
      <w:r>
        <w:t xml:space="preserve">&gt;</w:t>
      </w:r>
    </w:p>
    <w:bookmarkEnd w:id="22"/>
    <w:bookmarkStart w:id="23" w:name="auxiliary-boiler-efficiency-analysis"/>
    <w:p>
      <w:pPr>
        <w:pStyle w:val="Heading3"/>
      </w:pPr>
      <w:r>
        <w:t xml:space="preserve">3.2 Auxiliary Boiler Efficiency Analysis</w:t>
      </w:r>
    </w:p>
    <w:p>
      <w:pPr>
        <w:pStyle w:val="FirstParagraph"/>
      </w:pPr>
      <w:r>
        <w:t xml:space="preserve">&gt;</w:t>
      </w:r>
    </w:p>
    <w:p>
      <w:pPr>
        <w:pStyle w:val="BodyText"/>
      </w:pPr>
      <w:r>
        <w:t xml:space="preserve">A secondary laboratory focus involved the auxiliary boilers used for heating fuel oil and providing steam for deck machinery. Combustion analysis was performed to measure excess oxygen and carbon monoxide levels in the flue gas. The goal was to optimize the air-fuel ratio to reduce emissions, complying with stringent environmental regulations enforced by port authorities.</w:t>
      </w:r>
    </w:p>
    <w:p>
      <w:pPr>
        <w:pStyle w:val="BodyText"/>
      </w:pPr>
      <w:r>
        <w:t xml:space="preserve">&gt;</w:t>
      </w:r>
    </w:p>
    <w:bookmarkEnd w:id="23"/>
    <w:bookmarkStart w:id="24" w:name="X9476568510ef5ba1326c725f2635a15381abdaa"/>
    <w:p>
      <w:pPr>
        <w:pStyle w:val="Heading3"/>
      </w:pPr>
      <w:r>
        <w:t xml:space="preserve">3.3 Electrical Distribution Network Stress Test</w:t>
      </w:r>
    </w:p>
    <w:p>
      <w:pPr>
        <w:pStyle w:val="FirstParagraph"/>
      </w:pPr>
      <w:r>
        <w:t xml:space="preserve">&gt;</w:t>
      </w:r>
    </w:p>
    <w:p>
      <w:pPr>
        <w:pStyle w:val="BodyText"/>
      </w:pPr>
      <w:r>
        <w:t xml:space="preserve">To assess the reliability of power generation during peak load scenarios, a controlled overload test was applied to the emergency generator. Voltage stability and frequency response were logged at one-second intervals. This data is crucial for maintaining life-support systems and navigation equipment, particularly when vessels are maneuvering in the congested waterways near</w:t>
      </w:r>
      <w:r>
        <w:t xml:space="preserve"> </w:t>
      </w:r>
      <w:r>
        <w:rPr>
          <w:bCs/>
          <w:b/>
        </w:rPr>
        <w:t xml:space="preserve">Argentina Buenos Aires</w:t>
      </w:r>
      <w:r>
        <w:t xml:space="preserve">.</w:t>
      </w:r>
    </w:p>
    <w:p>
      <w:pPr>
        <w:pStyle w:val="BodyText"/>
      </w:pPr>
      <w:r>
        <w:t xml:space="preserve">&gt;</w:t>
      </w:r>
    </w:p>
    <w:bookmarkEnd w:id="24"/>
    <w:bookmarkEnd w:id="25"/>
    <w:bookmarkStart w:id="26" w:name="results-and-data-analysis"/>
    <w:p>
      <w:pPr>
        <w:pStyle w:val="Heading2"/>
      </w:pPr>
      <w:r>
        <w:t xml:space="preserve">4. Results and Data Analysis</w:t>
      </w:r>
    </w:p>
    <w:p>
      <w:pPr>
        <w:pStyle w:val="FirstParagraph"/>
      </w:pPr>
      <w:r>
        <w:t xml:space="preserve">&gt;</w:t>
      </w:r>
    </w:p>
    <w:p>
      <w:pPr>
        <w:pStyle w:val="BodyText"/>
      </w:pPr>
      <w:r>
        <w:t xml:space="preserve">System Parameter</w:t>
      </w:r>
    </w:p>
    <w:p>
      <w:pPr>
        <w:pStyle w:val="BodyText"/>
      </w:pPr>
      <w:r>
        <w:t xml:space="preserve">Expected Value</w:t>
      </w:r>
    </w:p>
    <w:p>
      <w:pPr>
        <w:pStyle w:val="BodyText"/>
      </w:pPr>
      <w:r>
        <w:t xml:space="preserve">Observed Value</w:t>
      </w:r>
    </w:p>
    <w:p>
      <w:pPr>
        <w:pStyle w:val="BodyText"/>
      </w:pPr>
      <w:r>
        <w:t xml:space="preserve">&gt;</w:t>
      </w:r>
    </w:p>
    <w:p>
      <w:pPr>
        <w:pStyle w:val="BodyText"/>
      </w:pPr>
      <w:r>
        <w:t xml:space="preserve">Deviation Status</w:t>
      </w:r>
    </w:p>
    <w:p>
      <w:pPr>
        <w:pStyle w:val="BodyText"/>
      </w:pPr>
      <w:r>
        <w:t xml:space="preserve">&gt;</w:t>
      </w:r>
    </w:p>
    <w:p>
      <w:pPr>
        <w:pStyle w:val="BodyText"/>
      </w:pPr>
      <w:r>
        <w:t xml:space="preserve">&gt;</w:t>
      </w:r>
    </w:p>
    <w:p>
      <w:pPr>
        <w:pStyle w:val="BodyText"/>
      </w:pPr>
      <w:r>
        <w:t xml:space="preserve">Main Engine Cylinder Pressure (Cyl. 3)</w:t>
      </w:r>
    </w:p>
    <w:p>
      <w:pPr>
        <w:pStyle w:val="BodyText"/>
      </w:pPr>
      <w:r>
        <w:t xml:space="preserve">125 bar ± 2</w:t>
      </w:r>
    </w:p>
    <w:p>
      <w:pPr>
        <w:pStyle w:val="BodyText"/>
      </w:pPr>
      <w:r>
        <w:t xml:space="preserve">&gt;</w:t>
      </w:r>
    </w:p>
    <w:p>
      <w:pPr>
        <w:pStyle w:val="BodyText"/>
      </w:pPr>
      <w:r>
        <w:t xml:space="preserve">126 bar</w:t>
      </w:r>
    </w:p>
    <w:p>
      <w:pPr>
        <w:pStyle w:val="BodyText"/>
      </w:pPr>
      <w:r>
        <w:t xml:space="preserve">&gt;</w:t>
      </w:r>
    </w:p>
    <w:p>
      <w:pPr>
        <w:pStyle w:val="BodyText"/>
      </w:pPr>
      <w:r>
        <w:t xml:space="preserve">Within Tolerance</w:t>
      </w:r>
    </w:p>
    <w:p>
      <w:pPr>
        <w:pStyle w:val="BodyText"/>
      </w:pPr>
      <w:r>
        <w:t xml:space="preserve">&gt;</w:t>
      </w:r>
    </w:p>
    <w:p>
      <w:pPr>
        <w:pStyle w:val="BodyText"/>
      </w:pPr>
      <w:r>
        <w:t xml:space="preserve">Turbocharger Vibration Level (RMS)</w:t>
      </w:r>
    </w:p>
    <w:p>
      <w:pPr>
        <w:pStyle w:val="BodyText"/>
      </w:pPr>
      <w:r>
        <w:t xml:space="preserve">&gt;</w:t>
      </w:r>
    </w:p>
    <w:p>
      <w:pPr>
        <w:pStyle w:val="BodyText"/>
      </w:pPr>
      <w:r>
        <w:t xml:space="preserve">4.5 mm/s max</w:t>
      </w:r>
    </w:p>
    <w:p>
      <w:pPr>
        <w:pStyle w:val="BodyText"/>
      </w:pPr>
      <w:r>
        <w:t xml:space="preserve">&gt;</w:t>
      </w:r>
    </w:p>
    <w:p>
      <w:pPr>
        <w:pStyle w:val="BodyText"/>
      </w:pPr>
      <w:r>
        <w:t xml:space="preserve">5.1 mm/s</w:t>
      </w:r>
    </w:p>
    <w:p>
      <w:pPr>
        <w:pStyle w:val="BodyText"/>
      </w:pPr>
      <w:r>
        <w:t xml:space="preserve">&gt;</w:t>
      </w:r>
    </w:p>
    <w:p>
      <w:pPr>
        <w:pStyle w:val="BodyText"/>
      </w:pPr>
      <w:r>
        <w:t xml:space="preserve">Alert Level (Inspection Recommended)</w:t>
      </w:r>
    </w:p>
    <w:p>
      <w:pPr>
        <w:pStyle w:val="BodyText"/>
      </w:pPr>
      <w:r>
        <w:t xml:space="preserve">Auxiliary Boiler Efficiency&gt;</w:t>
      </w:r>
    </w:p>
    <w:p>
      <w:pPr>
        <w:pStyle w:val="BodyText"/>
      </w:pPr>
      <w:r>
        <w:t xml:space="preserve">87%</w:t>
      </w:r>
    </w:p>
    <w:p>
      <w:pPr>
        <w:pStyle w:val="BodyText"/>
      </w:pPr>
      <w:r>
        <w:t xml:space="preserve">&gt;</w:t>
      </w:r>
    </w:p>
    <w:p>
      <w:pPr>
        <w:pStyle w:val="BodyText"/>
      </w:pPr>
      <w:r>
        <w:t xml:space="preserve">91.2%</w:t>
      </w:r>
    </w:p>
    <w:p>
      <w:pPr>
        <w:pStyle w:val="BodyText"/>
      </w:pPr>
      <w:r>
        <w:t xml:space="preserve">&gt;</w:t>
      </w:r>
    </w:p>
    <w:p>
      <w:pPr>
        <w:pStyle w:val="BodyText"/>
      </w:pPr>
      <w:r>
        <w:t xml:space="preserve">Optimized</w:t>
      </w:r>
    </w:p>
    <w:p>
      <w:pPr>
        <w:pStyle w:val="BodyText"/>
      </w:pPr>
      <w:r>
        <w:t xml:space="preserve">Emergency Generator Voltage Drop (Load Step)&gt;</w:t>
      </w:r>
    </w:p>
    <w:p>
      <w:pPr>
        <w:pStyle w:val="BodyText"/>
      </w:pPr>
      <w:r>
        <w:t xml:space="preserve">≤ 10%</w:t>
      </w:r>
    </w:p>
    <w:p>
      <w:pPr>
        <w:pStyle w:val="BodyText"/>
      </w:pPr>
      <w:r>
        <w:t xml:space="preserve">&gt;</w:t>
      </w:r>
    </w:p>
    <w:p>
      <w:pPr>
        <w:pStyle w:val="BodyText"/>
      </w:pPr>
      <w:r>
        <w:t xml:space="preserve">4.2%</w:t>
      </w:r>
    </w:p>
    <w:p>
      <w:pPr>
        <w:pStyle w:val="BodyText"/>
      </w:pPr>
      <w:r>
        <w:t xml:space="preserve">&gt;</w:t>
      </w:r>
    </w:p>
    <w:p>
      <w:pPr>
        <w:pStyle w:val="BodyText"/>
      </w:pPr>
      <w:r>
        <w:t xml:space="preserve">Within Tolerance</w:t>
      </w:r>
    </w:p>
    <w:p>
      <w:pPr>
        <w:pStyle w:val="BodyText"/>
      </w:pPr>
      <w:r>
        <w:t xml:space="preserve">&gt;</w:t>
      </w:r>
    </w:p>
    <w:p>
      <w:pPr>
        <w:pStyle w:val="BodyText"/>
      </w:pPr>
      <w:r>
        <w:t xml:space="preserve">The data indicates that the main propulsion system is operating within acceptable parameters, although the elevated vibration levels in Cylinder 3 suggest potential imbalance or wear in the piston assembly. This finding requires immediate corrective action by the</w:t>
      </w:r>
      <w:r>
        <w:t xml:space="preserve"> </w:t>
      </w:r>
      <w:r>
        <w:rPr>
          <w:bCs/>
          <w:b/>
        </w:rPr>
        <w:t xml:space="preserve">Marine Engineer</w:t>
      </w:r>
      <w:r>
        <w:t xml:space="preserve"> </w:t>
      </w:r>
      <w:r>
        <w:t xml:space="preserve">to prevent catastrophic failure during long-haul voyages.</w:t>
      </w:r>
    </w:p>
    <w:p>
      <w:pPr>
        <w:pStyle w:val="BodyText"/>
      </w:pPr>
      <w:r>
        <w:t xml:space="preserve">&gt;</w:t>
      </w:r>
    </w:p>
    <w:bookmarkEnd w:id="26"/>
    <w:bookmarkStart w:id="27" w:name="X14f038bd64534768de67c8e1016586260ee6d63"/>
    <w:p>
      <w:pPr>
        <w:pStyle w:val="Heading2"/>
      </w:pPr>
      <w:r>
        <w:t xml:space="preserve">5. Discussion: Regional Implications for Argentina Buenos Aires</w:t>
      </w:r>
    </w:p>
    <w:p>
      <w:pPr>
        <w:pStyle w:val="FirstParagraph"/>
      </w:pPr>
      <w:r>
        <w:t xml:space="preserve">&gt;</w:t>
      </w:r>
    </w:p>
    <w:p>
      <w:pPr>
        <w:pStyle w:val="BodyText"/>
      </w:pPr>
      <w:r>
        <w:t xml:space="preserve">The results of this laboratory assessment highlight specific challenges faced in the port region of</w:t>
      </w:r>
      <w:r>
        <w:t xml:space="preserve"> </w:t>
      </w:r>
      <w:r>
        <w:rPr>
          <w:bCs/>
          <w:b/>
        </w:rPr>
        <w:t xml:space="preserve">Argentina Buenos Aires</w:t>
      </w:r>
      <w:r>
        <w:t xml:space="preserve">. The high humidity and salt content in the air accelerate corrosion rates on external machinery and electrical components. Furthermore, the frequent maneuvering required in narrow channels places additional stress on steering gears and thrusters compared to open-sea operations.</w:t>
      </w:r>
    </w:p>
    <w:p>
      <w:pPr>
        <w:pStyle w:val="BodyText"/>
      </w:pPr>
      <w:r>
        <w:t xml:space="preserve">&gt;</w:t>
      </w:r>
    </w:p>
    <w:p>
      <w:pPr>
        <w:pStyle w:val="BodyText"/>
      </w:pPr>
      <w:r>
        <w:t xml:space="preserve">The efficiency gains observed in the auxiliary boilers demonstrate successful tuning of fuel injection systems. However, the vibration anomaly underscores the need for more frequent monitoring schedules adapted to local operational patterns. It is recommended that maintenance intervals be shortened by 15% for vessels operating exclusively within this port cluster to ensure safety and reliability.</w:t>
      </w:r>
    </w:p>
    <w:p>
      <w:pPr>
        <w:pStyle w:val="BodyText"/>
      </w:pPr>
      <w:r>
        <w:t xml:space="preserve">&gt;</w:t>
      </w:r>
    </w:p>
    <w:bookmarkEnd w:id="27"/>
    <w:bookmarkStart w:id="28" w:name="conclusion"/>
    <w:p>
      <w:pPr>
        <w:pStyle w:val="Heading2"/>
      </w:pPr>
      <w:r>
        <w:t xml:space="preserve">6. Conclusion</w:t>
      </w:r>
    </w:p>
    <w:p>
      <w:pPr>
        <w:pStyle w:val="FirstParagraph"/>
      </w:pPr>
      <w:r>
        <w:t xml:space="preserve">&gt;</w:t>
      </w:r>
    </w:p>
    <w:p>
      <w:pPr>
        <w:pStyle w:val="BodyText"/>
      </w:pPr>
      <w:r>
        <w:t xml:space="preserve">This laboratory report successfully documents the technical status of key marine engineering systems aboard a commercial vessel docked in</w:t>
      </w:r>
      <w:r>
        <w:t xml:space="preserve"> </w:t>
      </w:r>
      <w:r>
        <w:rPr>
          <w:bCs/>
          <w:b/>
        </w:rPr>
        <w:t xml:space="preserve">Argentina Buenos Aires</w:t>
      </w:r>
      <w:r>
        <w:t xml:space="preserve">. The findings confirm that while most systems are functioning efficiently, proactive maintenance is required for the main engine’s third cylinder. The role of the</w:t>
      </w:r>
      <w:r>
        <w:t xml:space="preserve"> </w:t>
      </w:r>
      <w:r>
        <w:rPr>
          <w:bCs/>
          <w:b/>
        </w:rPr>
        <w:t xml:space="preserve">Marine Engineer</w:t>
      </w:r>
      <w:r>
        <w:t xml:space="preserve"> </w:t>
      </w:r>
      <w:r>
        <w:t xml:space="preserve">remains central to interpreting these data points and implementing corrective measures that align with both technical best practices and regional environmental considerations.</w:t>
      </w:r>
    </w:p>
    <w:p>
      <w:pPr>
        <w:pStyle w:val="BodyText"/>
      </w:pPr>
      <w:r>
        <w:t xml:space="preserve">&gt;</w:t>
      </w:r>
    </w:p>
    <w:p>
      <w:pPr>
        <w:pStyle w:val="BodyText"/>
      </w:pPr>
      <w:r>
        <w:t xml:space="preserve">Future tests should include comparative analysis against vessels from different propulsion types to establish baseline performance metrics specific to the estuarine conditions of this region. Continued adherence to rigorous</w:t>
      </w:r>
      <w:r>
        <w:t xml:space="preserve"> </w:t>
      </w:r>
      <w:r>
        <w:rPr>
          <w:bCs/>
          <w:b/>
        </w:rPr>
        <w:t xml:space="preserve">Lab Report</w:t>
      </w:r>
      <w:r>
        <w:t xml:space="preserve"> </w:t>
      </w:r>
      <w:r>
        <w:t xml:space="preserve">standards ensures the longevity of marine assets and safety of maritime operations in one of South America’s most vital shipping hubs.</w:t>
      </w:r>
    </w:p>
    <w:p>
      <w:pPr>
        <w:pStyle w:val="BodyText"/>
      </w:pPr>
      <w:r>
        <w:t xml:space="preserve">&gt;</w:t>
      </w:r>
    </w:p>
    <w:p>
      <w:pPr>
        <w:pStyle w:val="BodyText"/>
      </w:pPr>
      <w:r>
        <w:rPr>
          <w:iCs/>
          <w:i/>
        </w:rPr>
        <w:t xml:space="preserve">Prepared by the Department of Marine Engineering</w:t>
      </w:r>
      <w:r>
        <w:br/>
      </w:r>
      <w:r>
        <w:rPr>
          <w:iCs/>
          <w:i/>
        </w:rPr>
        <w:t xml:space="preserve">Signed: Chief Engineer A. Garcia</w:t>
      </w:r>
      <w:r>
        <w:br/>
      </w:r>
      <w:r>
        <w:rPr>
          <w:iCs/>
          <w:i/>
        </w:rPr>
        <w:t xml:space="preserve">Date: October 24, 2023</w:t>
      </w:r>
    </w:p>
    <w:p>
      <w:pPr>
        <w:pStyle w:val="BodyText"/>
      </w:pPr>
      <w:r>
        <w:t xml:space="preserve">&gt;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Marine Engineering Practices in Argentina Buenos Aires</dc:title>
  <dc:creator/>
  <dc:language>en</dc:language>
  <cp:keywords/>
  <dcterms:created xsi:type="dcterms:W3CDTF">2026-07-29T16:58:36Z</dcterms:created>
  <dcterms:modified xsi:type="dcterms:W3CDTF">2026-07-29T16:58:36Z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