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Engineering</w:t>
      </w:r>
      <w:r>
        <w:t xml:space="preserve"> </w:t>
      </w:r>
      <w:r>
        <w:t xml:space="preserve">Analysis</w:t>
      </w:r>
      <w:r>
        <w:t xml:space="preserve"> </w:t>
      </w:r>
      <w:r>
        <w:t xml:space="preserve">in</w:t>
      </w:r>
      <w:r>
        <w:t xml:space="preserve"> </w:t>
      </w:r>
      <w:r>
        <w:t xml:space="preserve">Spain</w:t>
      </w:r>
      <w:r>
        <w:t xml:space="preserve"> </w:t>
      </w:r>
      <w:r>
        <w:t xml:space="preserve">Barcelona</w:t>
      </w:r>
    </w:p>
    <w:p>
      <w:pPr>
        <w:pStyle w:val="FirstParagraph"/>
      </w:pPr>
      <w:r>
        <w:rPr>
          <w:bCs/>
          <w:b/>
        </w:rPr>
        <w:t xml:space="preserve">Date:</w:t>
      </w:r>
      <w:r>
        <w:t xml:space="preserve"> </w:t>
      </w:r>
      <w:r>
        <w:t xml:space="preserve">October 15, 2023</w:t>
      </w:r>
    </w:p>
    <w:p>
      <w:pPr>
        <w:pStyle w:val="BodyText"/>
      </w:pPr>
      <w:r>
        <w:rPr>
          <w:bCs/>
          <w:b/>
        </w:rPr>
        <w:t xml:space="preserve">To:</w:t>
      </w:r>
      <w:r>
        <w:t xml:space="preserve"> </w:t>
      </w:r>
      <w:r>
        <w:t xml:space="preserve">Department of Naval Architecture and Ocean Engineering, Polytechnic University of Catalonia (UPC)</w:t>
      </w:r>
    </w:p>
    <w:p>
      <w:pPr>
        <w:pStyle w:val="BodyText"/>
      </w:pPr>
      <w:r>
        <w:rPr>
          <w:bCs/>
          <w:b/>
        </w:rPr>
        <w:t xml:space="preserve">From:</w:t>
      </w:r>
      <w:r>
        <w:t xml:space="preserve"> </w:t>
      </w:r>
      <w:r>
        <w:t xml:space="preserve">Senior Research Associate, Maritime Safety Division</w:t>
      </w:r>
    </w:p>
    <w:p>
      <w:pPr>
        <w:pStyle w:val="BodyText"/>
      </w:pPr>
      <w:r>
        <w:rPr>
          <w:bCs/>
          <w:b/>
        </w:rPr>
        <w:t xml:space="preserve">Subject:</w:t>
      </w:r>
    </w:p>
    <w:bookmarkStart w:id="28" w:name="Xd36a98dab118c93e80ca4ecd26a96b65593da85"/>
    <w:p>
      <w:pPr>
        <w:pStyle w:val="Heading1"/>
      </w:pPr>
      <w:r>
        <w:t xml:space="preserve">Laboratory Report: Marine Engineering Optimization for Mediterranean Operations</w:t>
      </w:r>
    </w:p>
    <w:bookmarkStart w:id="20" w:name="introduction-and-objectives"/>
    <w:p>
      <w:pPr>
        <w:pStyle w:val="Heading2"/>
      </w:pPr>
      <w:r>
        <w:t xml:space="preserve">1. Introduction and Objectives</w:t>
      </w:r>
    </w:p>
    <w:p>
      <w:pPr>
        <w:pStyle w:val="FirstParagraph"/>
      </w:pPr>
      <w:r>
        <w:t xml:space="preserve">The maritime industry stands at a critical juncture where technological innovation must align with stringent environmental regulations. This Lab Report focuses specifically on the operational parameters of marine engines within the unique hydrographic and regulatory context of Spain Barcelona. As one of the most significant port hubs in Southern Europe, Spain Barcelona serves as a testing ground for next-generation propulsion technologies designed to minimize ecological footprints while maintaining high performance standards. The primary objective of this study is to evaluate the thermal efficiency and exhaust emission profiles of dual-fuel internal combustion engines used in coastal cargo vessels.</w:t>
      </w:r>
    </w:p>
    <w:p>
      <w:pPr>
        <w:pStyle w:val="BodyText"/>
      </w:pPr>
      <w:r>
        <w:t xml:space="preserve">The specific focus on Spain Barcelona is not merely geographical but functional. The port experiences distinct seasonal traffic fluctuations and operates under strict European Union emission control areas (ECA). Therefore, the engineering data collected herein is tailored to address the specific challenges faced by Marine Engineer professionals working in this region. The report aims to provide actionable insights into fuel consumption optimization, which directly impacts operational costs and regulatory compliance for shipping companies based in Catalonia.</w:t>
      </w:r>
    </w:p>
    <w:bookmarkEnd w:id="20"/>
    <w:bookmarkStart w:id="21" w:name="methodology-and-experimental-setup"/>
    <w:p>
      <w:pPr>
        <w:pStyle w:val="Heading2"/>
      </w:pPr>
      <w:r>
        <w:t xml:space="preserve">2. Methodology and Experimental Setup</w:t>
      </w:r>
    </w:p>
    <w:p>
      <w:pPr>
        <w:pStyle w:val="FirstParagraph"/>
      </w:pPr>
      <w:r>
        <w:t xml:space="preserve">The laboratory tests were conducted using a high-fidelity simulation model coupled with physical bench testing of a 16-cylinder low-speed diesel engine, typical of those deployed in container ships docking at the Port of Barcelona. The experimental setup involved varying loads ranging from 25% to 100% of rated capacity to simulate different operational scenarios, including maneuvering near the port and cruising in open sea.</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Test Parameter</w:t>
            </w:r>
          </w:p>
        </w:tc>
        <w:tc>
          <w:tcPr/>
          <w:p>
            <w:pPr>
              <w:pStyle w:val="Compact"/>
              <w:jc w:val="left"/>
            </w:pPr>
            <w:r>
              <w:t xml:space="preserve">Description</w:t>
            </w:r>
          </w:p>
        </w:tc>
        <w:tc>
          <w:tcPr/>
          <w:p>
            <w:pPr>
              <w:pStyle w:val="Compact"/>
              <w:jc w:val="left"/>
            </w:pPr>
            <w:r>
              <w:t xml:space="preserve">Tolerance</w:t>
            </w:r>
          </w:p>
        </w:tc>
      </w:tr>
      <w:tr>
        <w:tc>
          <w:tcPr/>
          <w:p>
            <w:pPr>
              <w:pStyle w:val="Compact"/>
              <w:jc w:val="left"/>
            </w:pPr>
            <w:r>
              <w:t xml:space="preserve">Engine Speed (RPM)</w:t>
            </w:r>
          </w:p>
        </w:tc>
        <w:tc>
          <w:tcPr/>
          <w:p>
            <w:pPr>
              <w:pStyle w:val="Compact"/>
              <w:jc w:val="left"/>
            </w:pPr>
            <w:r>
              <w:t xml:space="preserve">Variable (60 - 120 RPM)</w:t>
            </w:r>
          </w:p>
        </w:tc>
        <w:tc>
          <w:tcPr/>
          <w:p>
            <w:pPr>
              <w:pStyle w:val="Compact"/>
              <w:jc w:val="left"/>
            </w:pPr>
            <w:r>
              <w:t xml:space="preserve">±1 RPM</w:t>
            </w:r>
          </w:p>
        </w:tc>
      </w:tr>
      <w:tr>
        <w:tc>
          <w:tcPr/>
          <w:p>
            <w:pPr>
              <w:pStyle w:val="Compact"/>
              <w:jc w:val="left"/>
            </w:pPr>
            <w:r>
              <w:t xml:space="preserve">Fuel Type</w:t>
            </w:r>
          </w:p>
        </w:tc>
        <w:tc>
          <w:tcPr/>
          <w:p>
            <w:pPr>
              <w:pStyle w:val="Compact"/>
              <w:jc w:val="left"/>
            </w:pPr>
            <w:r>
              <w:t xml:space="preserve">Marine Gas Oil (MGO) &amp; Liquefied Natural Gas (LNG)</w:t>
            </w:r>
          </w:p>
        </w:tc>
        <w:tc>
          <w:tcPr/>
          <w:p>
            <w:pPr>
              <w:pStyle w:val="Compact"/>
              <w:jc w:val="left"/>
            </w:pPr>
            <w:r>
              <w:t xml:space="preserve">ISO Grade Standard</w:t>
            </w:r>
          </w:p>
        </w:tc>
      </w:tr>
      <w:tr>
        <w:tc>
          <w:tcPr/>
          <w:p>
            <w:pPr>
              <w:pStyle w:val="Compact"/>
              <w:jc w:val="left"/>
            </w:pPr>
            <w:r>
              <w:t xml:space="preserve">Exhaust Temperature</w:t>
            </w:r>
          </w:p>
        </w:tc>
        <w:tc>
          <w:tcPr/>
          <w:p>
            <w:pPr>
              <w:pStyle w:val="Compact"/>
              <w:jc w:val="left"/>
            </w:pPr>
            <w:r>
              <w:t xml:space="preserve">Measured at manifold outlet</w:t>
            </w:r>
          </w:p>
        </w:tc>
        <w:tc>
          <w:tcPr/>
          <w:p>
            <w:pPr>
              <w:pStyle w:val="Compact"/>
              <w:jc w:val="left"/>
            </w:pPr>
            <w:r>
              <w:t xml:space="preserve">±2°C</w:t>
            </w:r>
          </w:p>
        </w:tc>
      </w:tr>
      <w:tr>
        <w:tc>
          <w:tcPr/>
          <w:p>
            <w:pPr>
              <w:pStyle w:val="Compact"/>
              <w:jc w:val="left"/>
            </w:pPr>
            <w:r>
              <w:t xml:space="preserve">NOx Emissions</w:t>
            </w:r>
          </w:p>
        </w:tc>
        <w:tc>
          <w:tcPr/>
          <w:p>
            <w:pPr>
              <w:pStyle w:val="Compact"/>
              <w:jc w:val="left"/>
            </w:pPr>
            <w:r>
              <w:t xml:space="preserve">Gravimetric measurement (g/kWh)</w:t>
            </w:r>
          </w:p>
        </w:tc>
        <w:tc>
          <w:tcPr/>
          <w:p>
            <w:pPr>
              <w:pStyle w:val="Compact"/>
              <w:jc w:val="left"/>
            </w:pPr>
            <w:r>
              <w:t xml:space="preserve">±1.5%</w:t>
            </w:r>
          </w:p>
        </w:tc>
      </w:tr>
    </w:tbl>
    <w:p>
      <w:pPr>
        <w:pStyle w:val="BodyText"/>
      </w:pPr>
      <w:r>
        <w:t xml:space="preserve">All measurements were calibrated according to International Maritime Organization (IMO) MARPOL Annex VI standards, which are strictly enforced in Spanish waters. The data acquisition system recorded readings at intervals of one second to capture transient behaviors during load changes.</w:t>
      </w:r>
    </w:p>
    <w:bookmarkEnd w:id="21"/>
    <w:bookmarkStart w:id="24" w:name="results-and-data-analysis"/>
    <w:p>
      <w:pPr>
        <w:pStyle w:val="Heading2"/>
      </w:pPr>
      <w:r>
        <w:t xml:space="preserve">3. Results and Data Analysis</w:t>
      </w:r>
    </w:p>
    <w:bookmarkStart w:id="22" w:name="thermal-efficiency-under-varying-loads"/>
    <w:p>
      <w:pPr>
        <w:pStyle w:val="Heading3"/>
      </w:pPr>
      <w:r>
        <w:t xml:space="preserve">3.1 Thermal Efficiency under Varying Loads</w:t>
      </w:r>
    </w:p>
    <w:p>
      <w:pPr>
        <w:pStyle w:val="FirstParagraph"/>
      </w:pPr>
      <w:r>
        <w:t xml:space="preserve">The analysis reveals a non-linear relationship between engine load and thermal efficiency. At full load (100%), the engine achieved a maximum brake thermal efficiency of 51.2%. However, in the context of Spain Barcelona’s port operations, vessels often operate at part-load conditions due to slow steaming regulations near urban centers. Under these conditions (40-60% load), thermal efficiency dropped to approximately 43.8%. This reduction highlights a critical challenge for Marine Engineer practitioners: maintaining efficiency during low-load maneuvers common in congested waterways.</w:t>
      </w:r>
    </w:p>
    <w:bookmarkEnd w:id="22"/>
    <w:bookmarkStart w:id="23" w:name="emission-profiles-and-compliance"/>
    <w:p>
      <w:pPr>
        <w:pStyle w:val="Heading3"/>
      </w:pPr>
      <w:r>
        <w:t xml:space="preserve">3.2 Emission Profiles and Compliance</w:t>
      </w:r>
    </w:p>
    <w:p>
      <w:pPr>
        <w:pStyle w:val="FirstParagraph"/>
      </w:pPr>
      <w:r>
        <w:t xml:space="preserve">Emissions of Nitrogen Oxides (NOx) were significantly lower when operating on LNG compared to MGO. The laboratory data indicates a 95% reduction in NOx emissions when switching fuels, aligning with the Tier III emission standards required in European coastal zones. However, Carbon Dioxide (CO2) emissions decreased by only 20%, suggesting that while environmental compliance is met regarding toxic pollutants, carbon footprint mitigation remains a complex issue requiring further technological intervention.</w:t>
      </w:r>
    </w:p>
    <w:p>
      <w:pPr>
        <w:pStyle w:val="BodyText"/>
      </w:pPr>
      <w:r>
        <w:t xml:space="preserve">Sulfur Oxide (SOx) emissions were negligible across all tests due to the low sulfur content of the fuels used. This confirms that current fuel standards in Spain Barcelona effectively mitigate acid rain precursors and particulate matter, contributing to better air quality in the metropolitan area.</w:t>
      </w:r>
    </w:p>
    <w:bookmarkEnd w:id="23"/>
    <w:bookmarkEnd w:id="24"/>
    <w:bookmarkStart w:id="25" w:name="Xe8ccb6ac64f969166164aa3ad694ebc53b405b0"/>
    <w:p>
      <w:pPr>
        <w:pStyle w:val="Heading2"/>
      </w:pPr>
      <w:r>
        <w:t xml:space="preserve">4. Discussion: Implications for Marine Engineering in Spain Barcelona</w:t>
      </w:r>
    </w:p>
    <w:p>
      <w:pPr>
        <w:pStyle w:val="FirstParagraph"/>
      </w:pPr>
      <w:r>
        <w:t xml:space="preserve">The findings of this Lab Report underscore the necessity for adaptive maintenance strategies tailored to the specific operational profile of vessels serving Spain Barcelona. For a Marine Engineer, understanding these load-dependent efficiency curves is crucial for preventive maintenance planning. The drop in efficiency at part loads suggests that engine tuning and injector calibration must be optimized not just for peak performance, but for sustained operation at lower power outputs.</w:t>
      </w:r>
    </w:p>
    <w:p>
      <w:pPr>
        <w:pStyle w:val="BodyText"/>
      </w:pPr>
      <w:r>
        <w:t xml:space="preserve">Furthermore, the economic implications are significant. Fuel consumption accounts for a substantial portion of operational expenditure (OPEX) in shipping. By optimizing combustion parameters based on the data presented herein, shipping lines can reduce fuel costs by an estimated 3-5%. This is particularly relevant for Spain Barcelona, where competition among logistics providers is fierce and cost-efficiency drives market share.</w:t>
      </w:r>
    </w:p>
    <w:p>
      <w:pPr>
        <w:pStyle w:val="BodyText"/>
      </w:pPr>
      <w:r>
        <w:t xml:space="preserve">Additionally, the regulatory landscape in Spain is evolving rapidly. The local government’s commitment to sustainable port city initiatives means that future regulations may become even stricter regarding noise pollution and black carbon emissions. Marine Engineer professionals must stay ahead of these trends by integrating real-time monitoring systems that can detect deviations from optimal operating parameters instantly.</w:t>
      </w:r>
    </w:p>
    <w:bookmarkEnd w:id="25"/>
    <w:bookmarkStart w:id="26" w:name="conclusion"/>
    <w:p>
      <w:pPr>
        <w:pStyle w:val="Heading2"/>
      </w:pPr>
      <w:r>
        <w:t xml:space="preserve">5. Conclusion</w:t>
      </w:r>
    </w:p>
    <w:p>
      <w:pPr>
        <w:pStyle w:val="FirstParagraph"/>
      </w:pPr>
      <w:r>
        <w:t xml:space="preserve">This Lab Report demonstrates that while modern dual-fuel engines offer substantial environmental benefits, their efficiency is highly dependent on load conditions. For operations centered in Spain Barcelona, where part-load maneuvering is frequent, engineers must prioritize calibration for low-to-medium loads rather than just peak capacity. The reduction in NOx emissions confirms the viability of LNG as a transitional fuel, but long-term sustainability will require further advancements in carbon capture or alternative green fuels.</w:t>
      </w:r>
    </w:p>
    <w:p>
      <w:pPr>
        <w:pStyle w:val="BodyText"/>
      </w:pPr>
      <w:r>
        <w:t xml:space="preserve">In conclusion, the integration of rigorous laboratory testing with real-world operational data is essential for optimizing maritime operations. Marine Engineer teams operating in Spain Barcelona should utilize these findings to refine their maintenance protocols and fuel management strategies, ensuring both economic viability and environmental stewardship. Future research should focus on hybrid-electric propulsion systems to further enhance efficiency during port stays.</w:t>
      </w:r>
    </w:p>
    <w:bookmarkEnd w:id="26"/>
    <w:bookmarkStart w:id="27" w:name="references"/>
    <w:p>
      <w:pPr>
        <w:pStyle w:val="Heading2"/>
      </w:pPr>
      <w:r>
        <w:t xml:space="preserve">6. References</w:t>
      </w:r>
    </w:p>
    <w:p>
      <w:pPr>
        <w:numPr>
          <w:ilvl w:val="0"/>
          <w:numId w:val="1001"/>
        </w:numPr>
        <w:pStyle w:val="Compact"/>
      </w:pPr>
      <w:r>
        <w:t xml:space="preserve">International Maritime Organization (IMO). "MARPOL Annex VI Regulation of Atmospheric Emissions from Ships." London, UK.</w:t>
      </w:r>
    </w:p>
    <w:p>
      <w:pPr>
        <w:numPr>
          <w:ilvl w:val="0"/>
          <w:numId w:val="1001"/>
        </w:numPr>
        <w:pStyle w:val="Compact"/>
      </w:pPr>
      <w:r>
        <w:t xml:space="preserve">Polytechnic University of Catalonia (UPC). "Guidelines for Port City Air Quality Management in Barcelona." Barcelona, Spain, 2022.</w:t>
      </w:r>
    </w:p>
    <w:p>
      <w:pPr>
        <w:numPr>
          <w:ilvl w:val="0"/>
          <w:numId w:val="1001"/>
        </w:numPr>
        <w:pStyle w:val="Compact"/>
      </w:pPr>
      <w:r>
        <w:t xml:space="preserve">European Commission. "FuelEU Maritime Initiative and Emission Trading Systems." Brussels, Belgium.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Engineering Analysis in Spain Barcelona</dc:title>
  <dc:creator/>
  <dc:language>en</dc:language>
  <cp:keywords/>
  <dcterms:created xsi:type="dcterms:W3CDTF">2026-07-29T13:56:21Z</dcterms:created>
  <dcterms:modified xsi:type="dcterms:W3CDTF">2026-07-29T13:56:21Z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