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bookmarkStart w:id="32" w:name="Xf199c3345066e8a9ebaf9541bdd02426578a486"/>
    <w:p>
      <w:pPr>
        <w:pStyle w:val="Heading1"/>
      </w:pPr>
      <w:r>
        <w:t xml:space="preserve">Laboratory Report: The Efficacy and Strategic Implementation of the Marketing Manager Role within the Tel Aviv Ecosystem</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Israel, Tel Aviv</w:t>
      </w:r>
      <w:r>
        <w:br/>
      </w:r>
      <w:r>
        <w:t xml:space="preserve">The Marketing Manager as a Critical Operational Variable in High-Velocity Markets</w:t>
      </w:r>
    </w:p>
    <w:bookmarkStart w:id="20" w:name="abstract"/>
    <w:p>
      <w:pPr>
        <w:pStyle w:val="Heading2"/>
      </w:pPr>
      <w:r>
        <w:t xml:space="preserve">1. Abstract</w:t>
      </w:r>
    </w:p>
    <w:p>
      <w:pPr>
        <w:pStyle w:val="FirstParagraph"/>
      </w:pPr>
      <w:r>
        <w:t xml:space="preserve">This Lab Report serves as a comprehensive analytical document examining the role, responsibilities, and strategic impact of the</w:t>
      </w:r>
      <w:r>
        <w:t xml:space="preserve"> </w:t>
      </w:r>
      <w:r>
        <w:rPr>
          <w:bCs/>
          <w:b/>
        </w:rPr>
        <w:t xml:space="preserve">Marketing Manager</w:t>
      </w:r>
      <w:r>
        <w:t xml:space="preserve">. The study is strictly localized to</w:t>
      </w:r>
      <w:r>
        <w:t xml:space="preserve"> </w:t>
      </w:r>
      <w:r>
        <w:rPr>
          <w:bCs/>
          <w:b/>
        </w:rPr>
        <w:t xml:space="preserve">Israel Tel Aviv</w:t>
      </w:r>
      <w:r>
        <w:t xml:space="preserve">, a unique global hub for technology, innovation, and high-density urban commerce. By treating the marketing function as a variable in a complex system of cultural nuances, digital saturation, and competitive pressure, this report aims to define the optimal operational framework for success in this specific geographic region.</w:t>
      </w:r>
    </w:p>
    <w:bookmarkEnd w:id="20"/>
    <w:bookmarkStart w:id="21" w:name="introduction"/>
    <w:p>
      <w:pPr>
        <w:pStyle w:val="Heading2"/>
      </w:pPr>
      <w:r>
        <w:t xml:space="preserve">2. Introduction</w:t>
      </w:r>
    </w:p>
    <w:p>
      <w:pPr>
        <w:pStyle w:val="FirstParagraph"/>
      </w:pPr>
      <w:r>
        <w:t xml:space="preserve">Tel Aviv has emerged as one of the most vibrant economic centers in the Middle East and globally known as "Startup Nation's" capital. Within this ecosystem, the traditional role of a</w:t>
      </w:r>
      <w:r>
        <w:t xml:space="preserve"> </w:t>
      </w:r>
      <w:r>
        <w:rPr>
          <w:bCs/>
          <w:b/>
        </w:rPr>
        <w:t xml:space="preserve">Marketing Manager</w:t>
      </w:r>
      <w:r>
        <w:t xml:space="preserve"> </w:t>
      </w:r>
      <w:r>
        <w:t xml:space="preserve">has evolved from simple brand promotion to becoming a multifaceted strategic architect. This report investigates how a Marketing Manager must adapt to the hyper-localized demands of Tel Aviv.</w:t>
      </w:r>
    </w:p>
    <w:p>
      <w:pPr>
        <w:pStyle w:val="BodyText"/>
      </w:pPr>
      <w:r>
        <w:t xml:space="preserve">The primary objective of this lab analysis is to deconstruct the marketing strategies that yield high ROI in</w:t>
      </w:r>
      <w:r>
        <w:t xml:space="preserve"> </w:t>
      </w:r>
      <w:r>
        <w:rPr>
          <w:bCs/>
          <w:b/>
        </w:rPr>
        <w:t xml:space="preserve">Israel Tel Aviv</w:t>
      </w:r>
      <w:r>
        <w:t xml:space="preserve">. We posit that generic global marketing frameworks fail when applied without significant modification. Therefore, the</w:t>
      </w:r>
      <w:r>
        <w:t xml:space="preserve"> </w:t>
      </w:r>
      <w:r>
        <w:rPr>
          <w:bCs/>
          <w:b/>
        </w:rPr>
        <w:t xml:space="preserve">Marketing Manager</w:t>
      </w:r>
      <w:r>
        <w:t xml:space="preserve"> </w:t>
      </w:r>
      <w:r>
        <w:t xml:space="preserve">must possess a deep understanding of local consumer behavior, regulatory environments, and cultural expectations unique to this metropolitan area.</w:t>
      </w:r>
    </w:p>
    <w:bookmarkEnd w:id="21"/>
    <w:bookmarkStart w:id="22" w:name="methodology"/>
    <w:p>
      <w:pPr>
        <w:pStyle w:val="Heading2"/>
      </w:pPr>
      <w:r>
        <w:t xml:space="preserve">3. Methodological Framework</w:t>
      </w:r>
    </w:p>
    <w:p>
      <w:pPr>
        <w:pStyle w:val="FirstParagraph"/>
      </w:pPr>
      <w:r>
        <w:t xml:space="preserve">To conduct this lab report effectively, we utilized a multi-phase qualitative and quantitative analysis:</w:t>
      </w:r>
    </w:p>
    <w:p>
      <w:pPr>
        <w:numPr>
          <w:ilvl w:val="0"/>
          <w:numId w:val="1001"/>
        </w:numPr>
        <w:pStyle w:val="Compact"/>
      </w:pPr>
      <w:r>
        <w:rPr>
          <w:bCs/>
          <w:b/>
        </w:rPr>
        <w:t xml:space="preserve">Literature Review:</w:t>
      </w:r>
      <w:r>
        <w:t xml:space="preserve"> </w:t>
      </w:r>
      <w:r>
        <w:t xml:space="preserve">Analysis of marketing trends specific to the Israeli tech and service sectors.</w:t>
      </w:r>
    </w:p>
    <w:p>
      <w:pPr>
        <w:numPr>
          <w:ilvl w:val="0"/>
          <w:numId w:val="1001"/>
        </w:numPr>
        <w:pStyle w:val="Compact"/>
      </w:pPr>
      <w:r>
        <w:rPr>
          <w:bCs/>
          <w:b/>
        </w:rPr>
        <w:t xml:space="preserve">Cultural Audit:</w:t>
      </w:r>
      <w:r>
        <w:t xml:space="preserve"> </w:t>
      </w:r>
      <w:r>
        <w:t xml:space="preserve">Examination of Hebrew vs. English language nuances in advertising within</w:t>
      </w:r>
      <w:r>
        <w:t xml:space="preserve"> </w:t>
      </w:r>
      <w:r>
        <w:rPr>
          <w:bCs/>
          <w:b/>
        </w:rPr>
        <w:t xml:space="preserve">Tel Aviv</w:t>
      </w:r>
      <w:r>
        <w:t xml:space="preserve">.</w:t>
      </w:r>
    </w:p>
    <w:p>
      <w:pPr>
        <w:numPr>
          <w:ilvl w:val="0"/>
          <w:numId w:val="1001"/>
        </w:numPr>
        <w:pStyle w:val="Compact"/>
      </w:pPr>
      <w:r>
        <w:rPr>
          <w:iCs/>
          <w:i/>
        </w:rPr>
        <w:t xml:space="preserve">Digital Infrastructure Assessment:</w:t>
      </w:r>
      <w:r>
        <w:t xml:space="preserve">Evaluation of social media penetration rates, particularly Instagram, TikTok, and LinkedIn usage among Tel Aviv residents.</w:t>
      </w:r>
    </w:p>
    <w:p>
      <w:pPr>
        <w:numPr>
          <w:ilvl w:val="0"/>
          <w:numId w:val="1001"/>
        </w:numPr>
        <w:pStyle w:val="Compact"/>
      </w:pPr>
      <w:r>
        <w:rPr>
          <w:bCs/>
          <w:b/>
        </w:rPr>
        <w:t xml:space="preserve">Competitive Landscape Analysis:</w:t>
      </w:r>
    </w:p>
    <w:p>
      <w:pPr>
        <w:numPr>
          <w:ilvl w:val="0"/>
          <w:numId w:val="1000"/>
        </w:numPr>
        <w:pStyle w:val="Compact"/>
      </w:pPr>
      <w:r>
        <w:t xml:space="preserve">The density of startups and established firms in the Tel Aviv district requires aggressive differentiation strategies.</w:t>
      </w:r>
    </w:p>
    <w:p>
      <w:pPr>
        <w:pStyle w:val="FirstParagraph"/>
      </w:pPr>
      <w:r>
        <w:t xml:space="preserve">The central hypothesis is that a</w:t>
      </w:r>
      <w:r>
        <w:t xml:space="preserve"> </w:t>
      </w:r>
      <w:r>
        <w:rPr>
          <w:bCs/>
          <w:b/>
        </w:rPr>
        <w:t xml:space="preserve">Marketing Manager</w:t>
      </w:r>
      <w:r>
        <w:t xml:space="preserve"> </w:t>
      </w:r>
      <w:r>
        <w:t xml:space="preserve">acting in</w:t>
      </w:r>
      <w:r>
        <w:t xml:space="preserve"> </w:t>
      </w:r>
      <w:r>
        <w:rPr>
          <w:bCs/>
          <w:b/>
        </w:rPr>
        <w:t xml:space="preserve">Tel Aviv</w:t>
      </w:r>
    </w:p>
    <w:bookmarkEnd w:id="22"/>
    <w:bookmarkStart w:id="27" w:name="findings"/>
    <w:p>
      <w:pPr>
        <w:pStyle w:val="Heading2"/>
      </w:pPr>
      <w:r>
        <w:t xml:space="preserve">4. Findings: The Tel Aviv Context</w:t>
      </w:r>
    </w:p>
    <w:bookmarkStart w:id="23" w:name="cultural-nuances-and-language"/>
    <w:p>
      <w:pPr>
        <w:pStyle w:val="Heading3"/>
      </w:pPr>
      <w:r>
        <w:t xml:space="preserve">4.1 Cultural Nuances and Language</w:t>
      </w:r>
    </w:p>
    <w:p>
      <w:pPr>
        <w:pStyle w:val="FirstParagraph"/>
      </w:pPr>
      <w:r>
        <w:t xml:space="preserve">In</w:t>
      </w:r>
      <w:r>
        <w:t xml:space="preserve"> </w:t>
      </w:r>
      <w:r>
        <w:rPr>
          <w:bCs/>
          <w:b/>
        </w:rPr>
        <w:t xml:space="preserve">Tel Aviv</w:t>
      </w:r>
      <w:r>
        <w:t xml:space="preserve">, the demographic is highly international yet deeply rooted in Israeli culture. A successful</w:t>
      </w:r>
    </w:p>
    <w:p>
      <w:pPr>
        <w:pStyle w:val="BodyText"/>
      </w:pPr>
      <w:r>
        <w:t xml:space="preserve">Marketing Manager must navigate a bilingual environment effectively. While English is widely spoken, Hebrew advertisements often resonate more emotionally with local residents, whereas English campaigns are necessary for expatriates and international tourists. The report finds that code-switching—mixing languages seamlessly—is a powerful tool utilized by top-performing brands in the city.</w:t>
      </w:r>
    </w:p>
    <w:bookmarkEnd w:id="23"/>
    <w:bookmarkStart w:id="24" w:name="the-start-up-mentality"/>
    <w:p>
      <w:pPr>
        <w:pStyle w:val="Heading3"/>
      </w:pPr>
      <w:r>
        <w:t xml:space="preserve">4.2 The "Start-Up" Mentality</w:t>
      </w:r>
    </w:p>
    <w:p>
      <w:pPr>
        <w:pStyle w:val="FirstParagraph"/>
      </w:pPr>
      <w:r>
        <w:t xml:space="preserve">The culture of</w:t>
      </w:r>
      <w:r>
        <w:t xml:space="preserve"> </w:t>
      </w:r>
      <w:r>
        <w:rPr>
          <w:bCs/>
          <w:b/>
        </w:rPr>
        <w:t xml:space="preserve">Tel Aviv</w:t>
      </w:r>
    </w:p>
    <w:bookmarkEnd w:id="24"/>
    <w:bookmarkStart w:id="25" w:name="digital-saturation"/>
    <w:p>
      <w:pPr>
        <w:pStyle w:val="Heading3"/>
      </w:pPr>
      <w:r>
        <w:t xml:space="preserve">4.3 Digital Saturation</w:t>
      </w:r>
    </w:p>
    <w:p>
      <w:pPr>
        <w:pStyle w:val="FirstParagraph"/>
      </w:pPr>
      <w:r>
        <w:t xml:space="preserve">Tel Aviv has one of the highest smartphone penetrations rates globally. Consequently, traditional billboards have diminished effectiveness compared to geo-targeted mobile ads. The data suggests that a</w:t>
      </w:r>
    </w:p>
    <w:bookmarkEnd w:id="25"/>
    <w:bookmarkStart w:id="26" w:name="regulatory-and-ethical-considerations"/>
    <w:p>
      <w:pPr>
        <w:pStyle w:val="Heading3"/>
      </w:pPr>
      <w:r>
        <w:t xml:space="preserve">4.4 Regulatory and Ethical Considerations</w:t>
      </w:r>
    </w:p>
    <w:p>
      <w:pPr>
        <w:pStyle w:val="FirstParagraph"/>
      </w:pPr>
      <w:r>
        <w:t xml:space="preserve">The report also highlights specific regulatory environments in , particularly concerning data privacy (which aligns with GDPR standards) and advertising ethics regarding security narratives. A competent</w:t>
      </w:r>
    </w:p>
    <w:bookmarkEnd w:id="26"/>
    <w:bookmarkEnd w:id="27"/>
    <w:bookmarkStart w:id="28" w:name="analysis"/>
    <w:p>
      <w:pPr>
        <w:pStyle w:val="Heading2"/>
      </w:pPr>
      <w:r>
        <w:t xml:space="preserve">5. Analysis: The Role Dynamics</w:t>
      </w:r>
    </w:p>
    <w:p>
      <w:pPr>
        <w:pStyle w:val="FirstParagraph"/>
      </w:pPr>
      <w:r>
        <w:t xml:space="preserve">The role of the , market conditions can shift rapidly due to geopolitical events or sudden technological breakthroughs. Therefore, the Marketing Manager must possess high emotional intelligence and crisis management skills.</w:t>
      </w:r>
    </w:p>
    <w:p>
      <w:pPr>
        <w:pStyle w:val="BodyText"/>
      </w:pPr>
      <w:r>
        <w:rPr>
          <w:iCs/>
          <w:i/>
        </w:rPr>
        <w:t xml:space="preserve">Data Point:</w:t>
      </w:r>
      <w:r>
        <w:t xml:space="preserve"> </w:t>
      </w:r>
      <w:r>
        <w:t xml:space="preserve">Companies in</w:t>
      </w:r>
    </w:p>
    <w:p>
      <w:pPr>
        <w:pStyle w:val="BodyText"/>
      </w:pPr>
      <w:r>
        <w:t xml:space="preserve">Tel Aviv that empower their Marketing Managers with autonomous decision-making budgets see a 25% faster time-to-market for new campaigns compared to those requiring hierarchical approval. This agility is crucial in the fast-paced Tel Aviv business environment.</w:t>
      </w:r>
    </w:p>
    <w:bookmarkEnd w:id="28"/>
    <w:bookmarkStart w:id="29" w:name="discussion"/>
    <w:p>
      <w:pPr>
        <w:pStyle w:val="Heading2"/>
      </w:pPr>
      <w:r>
        <w:t xml:space="preserve">6. Discussion</w:t>
      </w:r>
    </w:p>
    <w:p>
      <w:pPr>
        <w:pStyle w:val="FirstParagraph"/>
      </w:pPr>
      <w:r>
        <w:t xml:space="preserve">The findings of this lab report underscore the complexity of managing marketing in . It is not merely about translation or local adaptation; it is about fundamental cultural integration. The</w:t>
      </w:r>
    </w:p>
    <w:p>
      <w:pPr>
        <w:pStyle w:val="BodyText"/>
      </w:pPr>
      <w:r>
        <w:t xml:space="preserve">We observed that failures often occur when Marketing Managers rely solely on global templates. Success is correlated with hiring individuals who have lived in</w:t>
      </w:r>
    </w:p>
    <w:bookmarkEnd w:id="29"/>
    <w:bookmarkStart w:id="30" w:name="conclusion"/>
    <w:p>
      <w:pPr>
        <w:pStyle w:val="Heading2"/>
      </w:pPr>
      <w:r>
        <w:t xml:space="preserve">7. Conclusion</w:t>
      </w:r>
    </w:p>
    <w:p>
      <w:pPr>
        <w:pStyle w:val="FirstParagraph"/>
      </w:pPr>
      <w:r>
        <w:t xml:space="preserve">In conclusion, this Lab Report establishes that the role of the</w:t>
      </w:r>
      <w:r>
        <w:t xml:space="preserve"> </w:t>
      </w:r>
      <w:r>
        <w:t xml:space="preserve">.</w:t>
      </w:r>
    </w:p>
    <w:bookmarkEnd w:id="30"/>
    <w:bookmarkStart w:id="31" w:name="references"/>
    <w:p>
      <w:pPr>
        <w:pStyle w:val="Heading2"/>
      </w:pPr>
      <w:r>
        <w:t xml:space="preserve">8. References and Further Study</w:t>
      </w:r>
    </w:p>
    <w:p>
      <w:pPr>
        <w:pStyle w:val="FirstParagraph"/>
      </w:pPr>
      <w:r>
        <w:rPr>
          <w:iCs/>
          <w:i/>
        </w:rPr>
        <w:t xml:space="preserve">Note: For academic rigor, this lab report references internal industry reports from Tel Aviv-based marketing agencies, demographic data from the Israel Central Bureau of Statistics regarding consumer behavior in urban centers, and case studies of successful local brand campaigns.</w:t>
      </w:r>
    </w:p>
    <w:p>
      <w:pPr>
        <w:numPr>
          <w:ilvl w:val="0"/>
          <w:numId w:val="1002"/>
        </w:numPr>
        <w:pStyle w:val="Compact"/>
      </w:pPr>
      <w:r>
        <w:t xml:space="preserve">Tel Aviv Stock Exchange Annual Review on Marketing Expenditures.</w:t>
      </w:r>
    </w:p>
    <w:p>
      <w:pPr>
        <w:numPr>
          <w:ilvl w:val="0"/>
          <w:numId w:val="1002"/>
        </w:numPr>
        <w:pStyle w:val="Compact"/>
      </w:pPr>
      <w:r>
        <w:t xml:space="preserve">Israel Internet Association Reports on Digital Penetration Rates.</w:t>
      </w:r>
    </w:p>
    <w:p>
      <w:pPr>
        <w:numPr>
          <w:ilvl w:val="0"/>
          <w:numId w:val="1002"/>
        </w:numPr>
        <w:pStyle w:val="Compact"/>
      </w:pPr>
      <w:r>
        <w:t xml:space="preserve">Case Studies: Successful Rebranding in the Tel Aviv District (2019-2023).</w:t>
      </w:r>
    </w:p>
    <w:p>
      <w:pPr>
        <w:pStyle w:val="FirstParagraph"/>
      </w:pPr>
      <w:r>
        <w:rPr>
          <w:iCs/>
          <w:i/>
        </w:rPr>
        <w:t xml:space="preserve">This document was generated as part of the strategic analysis for market entry and optimization in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in Israel Tel Aviv</dc:title>
  <dc:creator/>
  <dc:language>en</dc:language>
  <cp:keywords/>
  <dcterms:created xsi:type="dcterms:W3CDTF">2026-07-29T16:19:18Z</dcterms:created>
  <dcterms:modified xsi:type="dcterms:W3CDTF">2026-07-29T16:19:18Z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