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Mason</w:t>
      </w:r>
    </w:p>
    <w:bookmarkStart w:id="24" w:name="laboratory-analysis-report-mason"/>
    <w:p>
      <w:pPr>
        <w:pStyle w:val="Heading1"/>
      </w:pPr>
      <w:r>
        <w:t xml:space="preserve">Laboratory Analysis Report: Mason</w:t>
      </w:r>
    </w:p>
    <w:p>
      <w:pPr>
        <w:pStyle w:val="FirstParagraph"/>
      </w:pPr>
      <w:r>
        <w:rPr>
          <w:bCs/>
          <w:b/>
        </w:rPr>
        <w:t xml:space="preserve">Date of Report:</w:t>
      </w:r>
    </w:p>
    <w:p>
      <w:pPr>
        <w:pStyle w:val="BodyText"/>
      </w:pPr>
      <w:r>
        <w:t xml:space="preserve">October 24, 2023</w:t>
      </w:r>
      <w:r>
        <w:br/>
      </w:r>
    </w:p>
    <w:p>
      <w:pPr>
        <w:pStyle w:val="BodyText"/>
      </w:pPr>
      <w:r>
        <w:rPr>
          <w:bCs/>
          <w:b/>
        </w:rPr>
        <w:t xml:space="preserve">Subject ID:</w:t>
      </w:r>
    </w:p>
    <w:p>
      <w:pPr>
        <w:pStyle w:val="BodyText"/>
      </w:pPr>
      <w:r>
        <w:t xml:space="preserve">Mason</w:t>
      </w:r>
      <w:r>
        <w:br/>
      </w:r>
    </w:p>
    <w:p>
      <w:pPr>
        <w:pStyle w:val="BodyText"/>
      </w:pPr>
      <w:r>
        <w:rPr>
          <w:bCs/>
          <w:b/>
        </w:rPr>
        <w:t xml:space="preserve">Location of Analysis:</w:t>
      </w:r>
    </w:p>
    <w:p>
      <w:pPr>
        <w:pStyle w:val="BodyText"/>
      </w:pPr>
      <w:r>
        <w:t xml:space="preserve">Canada Toronto Regional Laboratory</w:t>
      </w:r>
      <w:r>
        <w:br/>
      </w:r>
    </w:p>
    <w:p>
      <w:pPr>
        <w:pStyle w:val="BodyText"/>
      </w:pPr>
      <w:r>
        <w:rPr>
          <w:bCs/>
          <w:b/>
        </w:rPr>
        <w:t xml:space="preserve">Clinical Context:</w:t>
      </w:r>
    </w:p>
    <w:p>
      <w:pPr>
        <w:pStyle w:val="BodyText"/>
      </w:pPr>
      <w:r>
        <w:t xml:space="preserve">Comprehensive Diagnostic Evaluation for Immigrant Processing and General Health Assessment in the Greater Toronto Area.</w:t>
      </w:r>
    </w:p>
    <w:bookmarkStart w:id="20" w:name="executive-summary"/>
    <w:p>
      <w:pPr>
        <w:pStyle w:val="Heading2"/>
      </w:pPr>
      <w:r>
        <w:t xml:space="preserve">1.0 Executive Summary</w:t>
      </w:r>
    </w:p>
    <w:p>
      <w:pPr>
        <w:pStyle w:val="FirstParagraph"/>
      </w:pPr>
      <w:r>
        <w:t xml:space="preserve">This laboratory report details the comprehensive diagnostic findings associated with the subject identified as Mason. The analysis was conducted under strict adherence to the protocols established by Health Canada and local health authorities within Canada Toronto. The primary objective of this evaluation was to determine Mason’s physiological status, ensuring compliance with both medical standards and regulatory requirements pertinent to residency verification and general healthcare management in the region. All samples were processed using state-of-the-art technology available at our facility in Canada Toronto, ensuring the highest degree of accuracy and reliability.</w:t>
      </w:r>
    </w:p>
    <w:bookmarkEnd w:id="20"/>
    <w:bookmarkStart w:id="21" w:name="introduction"/>
    <w:p>
      <w:pPr>
        <w:pStyle w:val="Heading2"/>
      </w:pPr>
      <w:r>
        <w:t xml:space="preserve">2.0 Introduction</w:t>
      </w:r>
    </w:p>
    <w:p>
      <w:pPr>
        <w:pStyle w:val="FirstParagraph"/>
      </w:pPr>
      <w:r>
        <w:t xml:space="preserve">The subject, Mason, underwent a series of standardized laboratory tests designed to assess general health markers. Given the geographical context of this report, specific attention was paid to environmental factors relevant to Canada Toronto. The city is known for its distinct seasonal variations and urban density, both of which can influence certain biological markers such as respiratory function and cardiovascular health indicators. The purpose of this document is not only to record numerical data but also to contextualize Mason’s results within the specific healthcare framework of Canada Toronto.</w:t>
      </w:r>
    </w:p>
    <w:bookmarkEnd w:id="21"/>
    <w:bookmarkStart w:id="22" w:name="methodology"/>
    <w:p>
      <w:pPr>
        <w:pStyle w:val="Heading2"/>
      </w:pPr>
      <w:r>
        <w:t xml:space="preserve">3.0 Methodology</w:t>
      </w:r>
    </w:p>
    <w:p>
      <w:pPr>
        <w:pStyle w:val="FirstParagraph"/>
      </w:pPr>
      <w:r>
        <w:t xml:space="preserve">All procedures were performed in accordance with the Clinical and Laboratory Standards Institute (CLSI) guidelines, which are adopted by laboratories across Canada Toronto. Blood samples were collected via venipuncture, while urine samples were obtained through mid-stream collection methods. Genetic screening was also conducted to rule out hereditary conditions prevalent in certain demographic groups within the local population of Canada Toronto.</w:t>
      </w:r>
    </w:p>
    <w:p>
      <w:pPr>
        <w:pStyle w:val="BodyText"/>
      </w:pPr>
      <w:r>
        <w:t xml:space="preserve">The laboratory equipment utilized includes automated hematology analyzers and mass spectrometry units, ensuring precise quantification of biomarkers. Each batch of tests included internal controls to validate the integrity of Mason’s samples throughout the processing period.</w:t>
      </w:r>
    </w:p>
    <w:bookmarkEnd w:id="22"/>
    <w:bookmarkStart w:id="23" w:name="results"/>
    <w:p>
      <w:pPr>
        <w:pStyle w:val="Heading2"/>
      </w:pPr>
      <w:r>
        <w:t xml:space="preserve">4.0 Results</w:t>
      </w:r>
    </w:p>
    <w:p>
      <w:pPr>
        <w:pStyle w:val="FirstParagraph"/>
      </w:pPr>
      <w:r>
        <w:t xml:space="preserve">The following data represents the key findings from Mason’s laboratory analysis:</w:t>
      </w:r>
    </w:p>
    <w:p>
      <w:pPr>
        <w:pStyle w:val="BodyText"/>
      </w:pPr>
      <w:r>
        <w:t xml:space="preserve">Metric</w:t>
      </w:r>
    </w:p>
    <w:bookmarkEnd w:id="23"/>
    <w:bookmarkEnd w:id="24"/>
    <w:p>
      <w:pPr>
        <w:pStyle w:val="BodyText"/>
      </w:pPr>
      <w:r>
        <w:t xml:space="preserve">**/b&gt;</w:t>
      </w:r>
    </w:p>
    <w:p>
      <w:pPr>
        <w:pStyle w:val="BodyText"/>
      </w:pPr>
      <w:r>
        <w:t xml:space="preserve">**td &gt;**Reference Range</w:t>
      </w:r>
    </w:p>
    <w:p>
      <w:pPr>
        <w:pStyle w:val="BodyText"/>
      </w:pPr>
      <w:r>
        <w:t xml:space="preserve">**Complete Blood Count (CBC)**&lt; td&gt;**Within Normal Limits**&lt; /td &gt;&lt; td&gt;Varies by Age/Sex&lt; /t d&gt; &lt; t r&gt;&lt; t d&gt;RBC, WBC, Hgb, Plt&lt; /t d &gt; &lt; t d&gt;Mason: 5.1M/uL (RBC), 7.2k/uL (WBC)&lt; /td &gt;&lt; td&gt;RBC: 4.5-5.9M; W BC :4 .0 -11.&lt; **0k&lt; **/ td &gt; &lt; t r&gt;&lt; t d&gt;Lipid Profile&lt; /t d &gt; &lt; t d&gt;**Borderline High LDL** *TD&gt;*Optimal: 3.3 mmol/L* *</w:t>
      </w:r>
    </w:p>
    <w:p>
      <w:pPr>
        <w:pStyle w:val="BodyText"/>
      </w:pPr>
      <w:r>
        <w:t xml:space="preserve">LDL Cholesterol</w:t>
      </w:r>
    </w:p>
    <w:p>
      <w:pPr>
        <w:pStyle w:val="BodyText"/>
      </w:pPr>
      <w:r>
        <w:t xml:space="preserve">Mason: 3.8 mmol/L</w:t>
      </w:r>
    </w:p>
    <w:p>
      <w:pPr>
        <w:pStyle w:val="BodyText"/>
      </w:pPr>
      <w:r>
        <w:t xml:space="preserve">&lt;</w:t>
      </w:r>
    </w:p>
    <w:p>
      <w:pPr>
        <w:pStyle w:val="BodyText"/>
      </w:pPr>
      <w:r>
        <w:t xml:space="preserve">&lt; 2.07 mmol/Optimal)</w:t>
      </w:r>
    </w:p>
    <w:p>
      <w:pPr>
        <w:pStyle w:val="BodyText"/>
      </w:pPr>
      <w:r>
        <w:t xml:space="preserve">&lt; t r&gt;&lt; t d&gt;Vitamin D Level&lt; /t d &gt;&lt; td&gt;**Sufficient**&lt; /t d &gt;&lt; td&gt;75 -125 nmol/L (Canada Toronto Winter Adj.)</w:t>
      </w:r>
    </w:p>
    <w:p>
      <w:pPr>
        <w:pStyle w:val="BodyText"/>
      </w:pPr>
      <w:r>
        <w:t xml:space="preserve">Mason: 88 nmol/L</w:t>
      </w:r>
    </w:p>
    <w:p>
      <w:pPr>
        <w:pStyle w:val="BodyText"/>
      </w:pPr>
      <w:r>
        <w:t xml:space="preserve">Biomarker</w:t>
      </w:r>
    </w:p>
    <w:p>
      <w:pPr>
        <w:pStyle w:val="BodyText"/>
      </w:pPr>
      <w:r>
        <w:t xml:space="preserve">**/b&gt;</w:t>
      </w:r>
    </w:p>
    <w:p>
      <w:pPr>
        <w:pStyle w:val="BodyText"/>
      </w:pPr>
      <w:r>
        <w:t xml:space="preserve">**Glucose (Fasting)**&lt; /t d &gt;&lt; td&gt;**Normal**&lt; /t d &gt;&lt; td&gt;3.9 -5.&lt; **5 mmol/L* *</w:t>
      </w:r>
    </w:p>
    <w:p>
      <w:pPr>
        <w:pStyle w:val="BodyText"/>
      </w:pPr>
      <w:r>
        <w:t xml:space="preserve">Mason: 4.8 mmol/L</w:t>
      </w:r>
    </w:p>
    <w:bookmarkStart w:id="25" w:name="discussion"/>
    <w:p>
      <w:pPr>
        <w:pStyle w:val="Heading2"/>
      </w:pPr>
      <w:r>
        <w:t xml:space="preserve">5.0 Discussion</w:t>
      </w:r>
    </w:p>
    <w:p>
      <w:pPr>
        <w:pStyle w:val="FirstParagraph"/>
      </w:pPr>
      <w:r>
        <w:t xml:space="preserve">The results indicate that Mason is in good general health, with minor considerations regarding lipid management. The most significant finding in this lab report concerning Mason is the slightly elevated Low-Density Lipoprotein (LDL) cholesterol levels. While not critically high, this marker requires attention due to the sedentary lifestyle factors that can be common among residents of Canada Toronto during the colder months, which typically last from November to April.</w:t>
      </w:r>
    </w:p>
    <w:p>
      <w:pPr>
        <w:pStyle w:val="BodyText"/>
      </w:pPr>
      <w:r>
        <w:t xml:space="preserve">It is important to contextualize these results within the environment of Canada Toronto. During winter, reduced exposure to sunlight can lead to fluctuations in Vitamin D levels. However, Mason’s Vitamin D level was recorded at 88 nmol/L, which falls well within the sufficient range for individuals living in Canada Toronto during winter months. This suggests that either through dietary intake or supplementation, Mason has maintained adequate vitamin stores.</w:t>
      </w:r>
    </w:p>
    <w:p>
      <w:pPr>
        <w:pStyle w:val="BodyText"/>
      </w:pPr>
      <w:r>
        <w:t xml:space="preserve">Furthermore, the Complete Blood Count (CBC) shows no signs of infection or anemia. The White Blood Cell (WBC) count is within normal limits, indicating a robust immune system response capability. This is particularly relevant for Mason as it ensures fitness for any occupational requirements that may involve exposure to public spaces in the dense urban environment of Canada Toronto.</w:t>
      </w:r>
    </w:p>
    <w:bookmarkEnd w:id="25"/>
    <w:bookmarkStart w:id="26" w:name="conclusion"/>
    <w:p>
      <w:pPr>
        <w:pStyle w:val="Heading2"/>
      </w:pPr>
      <w:r>
        <w:t xml:space="preserve">6.0 Conclusion</w:t>
      </w:r>
    </w:p>
    <w:p>
      <w:pPr>
        <w:pStyle w:val="FirstParagraph"/>
      </w:pPr>
      <w:r>
        <w:t xml:space="preserve">In conclusion, the laboratory analysis performed on Mason demonstrates overall physiological stability. The minor elevation in LDL cholesterol is a manageable condition and does not pose an immediate health risk but should be monitored. We recommend dietary adjustments focused on reducing saturated fats and increasing fiber intake, alongside regular physical activity to mitigate the effects of Canada Toronto’s winter lifestyle.</w:t>
      </w:r>
    </w:p>
    <w:p>
      <w:pPr>
        <w:pStyle w:val="BodyText"/>
      </w:pPr>
      <w:r>
        <w:t xml:space="preserve">This Lab Report serves as a formal record of Mason’s health status. It has been reviewed and approved by the senior pathologist at our facility in Canada Toronto. Should further testing be required, specific follow-up protocols can be initiated immediately based on these findings.</w:t>
      </w:r>
    </w:p>
    <w:bookmarkEnd w:id="26"/>
    <w:bookmarkStart w:id="27" w:name="recommendations"/>
    <w:p>
      <w:pPr>
        <w:pStyle w:val="Heading2"/>
      </w:pPr>
      <w:r>
        <w:t xml:space="preserve">7.0 Recommendations</w:t>
      </w:r>
    </w:p>
    <w:p>
      <w:pPr>
        <w:numPr>
          <w:ilvl w:val="0"/>
          <w:numId w:val="1001"/>
        </w:numPr>
        <w:pStyle w:val="Compact"/>
      </w:pPr>
      <w:r>
        <w:t xml:space="preserve">**Physical Activity:** Engage in at least 150 minutes of moderate-intensity aerobic activity per week, suitable for the Canada Toronto urban landscape.&lt; /li&gt;</w:t>
      </w:r>
    </w:p>
    <w:p>
      <w:pPr>
        <w:numPr>
          <w:ilvl w:val="0"/>
          <w:numId w:val="1001"/>
        </w:numPr>
        <w:pStyle w:val="Compact"/>
      </w:pPr>
      <w:r>
        <w:t xml:space="preserve">**Follow-up:** Re-evaluate lipid profile in 6 months.&lt; /t li&gt;</w:t>
      </w:r>
    </w:p>
    <w:p>
      <w:pPr>
        <w:pStyle w:val="FirstParagraph"/>
      </w:pPr>
      <w:r>
        <w:rPr>
          <w:bCs/>
          <w:b/>
        </w:rPr>
        <w:t xml:space="preserve">Authorized Signature:</w:t>
      </w:r>
      <w:r>
        <w:br/>
      </w:r>
      <w:r>
        <w:t xml:space="preserve">Dr. A. Smith, M.D., Ph.D.</w:t>
      </w:r>
      <w:r>
        <w:br/>
      </w:r>
      <w:r>
        <w:t xml:space="preserve">Chief Pathologist</w:t>
      </w:r>
      <w:r>
        <w:br/>
      </w:r>
      <w:r>
        <w:t xml:space="preserve">Canada Toronto Central Laboratory</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Mason</dc:title>
  <dc:creator/>
  <dc:language>en</dc:language>
  <cp:keywords/>
  <dcterms:created xsi:type="dcterms:W3CDTF">2026-07-29T03:47:18Z</dcterms:created>
  <dcterms:modified xsi:type="dcterms:W3CDTF">2026-07-29T03:47:18Z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