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Masonic</w:t>
      </w:r>
      <w:r>
        <w:t xml:space="preserve"> </w:t>
      </w:r>
      <w:r>
        <w:t xml:space="preserve">Infrastructure</w:t>
      </w:r>
      <w:r>
        <w:t xml:space="preserve"> </w:t>
      </w:r>
      <w:r>
        <w:t xml:space="preserve">and</w:t>
      </w:r>
      <w:r>
        <w:t xml:space="preserve"> </w:t>
      </w:r>
      <w:r>
        <w:t xml:space="preserve">Social</w:t>
      </w:r>
      <w:r>
        <w:t xml:space="preserve"> </w:t>
      </w:r>
      <w:r>
        <w:t xml:space="preserve">Cohesion</w:t>
      </w:r>
      <w:r>
        <w:t xml:space="preserve"> </w:t>
      </w:r>
      <w:r>
        <w:t xml:space="preserve">in</w:t>
      </w:r>
      <w:r>
        <w:t xml:space="preserve"> </w:t>
      </w:r>
      <w:r>
        <w:t xml:space="preserve">Iraq</w:t>
      </w:r>
      <w:r>
        <w:t xml:space="preserve"> </w:t>
      </w:r>
      <w:r>
        <w:t xml:space="preserve">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Regional Stability and Cultural Affairs</w:t>
      </w:r>
      <w:r>
        <w:br/>
      </w:r>
      <w:r>
        <w:rPr>
          <w:bCs/>
          <w:b/>
        </w:rPr>
        <w:t xml:space="preserve">From:</w:t>
      </w:r>
      <w:r>
        <w:t xml:space="preserve"> </w:t>
      </w:r>
      <w:r>
        <w:t xml:space="preserve">Dr. Aris Thorne, Senior Analyst</w:t>
      </w:r>
      <w:r>
        <w:br/>
      </w:r>
    </w:p>
    <w:p>
      <w:pPr>
        <w:pStyle w:val="BodyText"/>
      </w:pPr>
      <w:r>
        <w:rPr>
          <w:iCs/>
          <w:i/>
        </w:rPr>
        <w:t xml:space="preserve">Laboratory Report on Masonic Infrastructure and Social Cohesion in Iraq Baghdad</w:t>
      </w:r>
      <w:r>
        <w:br/>
      </w:r>
    </w:p>
    <w:p>
      <w:pPr>
        <w:pStyle w:val="BodyText"/>
      </w:pPr>
      <w:r>
        <w:t xml:space="preserve">MASON-IRG-BGD-2023-X9</w:t>
      </w:r>
      <w:r>
        <w:br/>
      </w:r>
    </w:p>
    <w:bookmarkStart w:id="29" w:name="Xa1cdf23d54fb66f9049ad95b8435c17ac3ee934"/>
    <w:p>
      <w:pPr>
        <w:pStyle w:val="Heading1"/>
      </w:pPr>
      <w:r>
        <w:t xml:space="preserve">Laboratory Report: Masonic Activities, Infrastructure, and Societal Impact in Iraq Baghdad</w:t>
      </w:r>
    </w:p>
    <w:p>
      <w:pPr>
        <w:pStyle w:val="FirstParagraph"/>
      </w:pPr>
      <w:r>
        <w:rPr>
          <w:bCs/>
          <w:b/>
        </w:rPr>
        <w:t xml:space="preserve">Abstract</w:t>
      </w:r>
    </w:p>
    <w:p>
      <w:pPr>
        <w:pStyle w:val="BodyText"/>
      </w:pPr>
      <w:r>
        <w:t xml:space="preserve">This Laboratory Report provides a comprehensive analysis of the historical presence, current operational status, and socio-political implications of Masonic Lodges within the geographic and cultural context of Iraq Baghdad. The document examines how Masonic principles interact with local traditions, aiming to elucidate their potential role in fostering civil society dialogue. Although the visibility of such institutions has fluctuated due to regional instability, this report argues that understanding these dynamics is critical for maintaining long-term diplomatic and cultural bridges in the region.</w:t>
      </w:r>
    </w:p>
    <w:bookmarkStart w:id="20" w:name="introduction"/>
    <w:p>
      <w:pPr>
        <w:pStyle w:val="Heading2"/>
      </w:pPr>
      <w:r>
        <w:t xml:space="preserve">1. Introduction</w:t>
      </w:r>
    </w:p>
    <w:p>
      <w:pPr>
        <w:pStyle w:val="FirstParagraph"/>
      </w:pPr>
      <w:r>
        <w:t xml:space="preserve">The city of Iraq Baghdad serves as a complex nexus of historical heritage, religious diversity, and political evolution. Within this intricate tapestry, the institution of</w:t>
      </w:r>
      <w:r>
        <w:t xml:space="preserve"> </w:t>
      </w:r>
      <w:r>
        <w:rPr>
          <w:bCs/>
          <w:b/>
        </w:rPr>
        <w:t xml:space="preserve">Mason</w:t>
      </w:r>
      <w:r>
        <w:t xml:space="preserve">y represents a unique thread connecting local citizens to broader international fraternal traditions. While often misunderstood or viewed with suspicion due to geopolitical narratives, Freemasonry has historically served as a neutral ground for networking among professionals across sectarian and ethnic lines.</w:t>
      </w:r>
    </w:p>
    <w:p>
      <w:pPr>
        <w:pStyle w:val="BodyText"/>
      </w:pPr>
      <w:r>
        <w:t xml:space="preserve">The purpose of this Laboratory Report is to document the existing structures and historical data regarding Masonic activities in Iraq Baghdad. By treating this inquiry as a sociological laboratory, we can isolate variables such as religious adherence, professional affiliation, and civic engagement to understand how fraternal organizations function in post-conflict environments. This report specifically addresses the need for updated intelligence on these groups to ensure that any future diplomatic or cultural engagements are informed by accurate historical and contemporary data.</w:t>
      </w:r>
    </w:p>
    <w:bookmarkEnd w:id="20"/>
    <w:bookmarkStart w:id="21" w:name="Xdce29fb26182b982bf88db82284de7299ff8a25"/>
    <w:p>
      <w:pPr>
        <w:pStyle w:val="Heading2"/>
      </w:pPr>
      <w:r>
        <w:t xml:space="preserve">2. Historical Context of Masonry in Iraq Baghdad</w:t>
      </w:r>
    </w:p>
    <w:p>
      <w:pPr>
        <w:pStyle w:val="FirstParagraph"/>
      </w:pPr>
      <w:r>
        <w:t xml:space="preserve">To understand the current state, one must examine the historical roots. The introduction of Masonic lodges to Iraq dates back to the early 20th century, during the British Mandate era and subsequent periods of modernization. In Iraq Baghdad, these lodges were not merely social clubs but hubs for intellectual exchange involving lawyers, doctors, engineers, and civil servants.</w:t>
      </w:r>
    </w:p>
    <w:p>
      <w:pPr>
        <w:pStyle w:val="BodyText"/>
      </w:pPr>
      <w:r>
        <w:t xml:space="preserve">During the mid-20th century, Iraq Baghdad was a center for pan-Arab nationalism and secularism. Many prominent figures in the government and judiciary were members of Masonic orders. These individuals often utilized their lodge connections to facilitate political dialogue that transcended tribal or sectarian boundaries. However, following various regime changes and periods of severe instability in the 1990s and 2003 onwards, many lodges closed or operated covertly to protect their members from persecution.</w:t>
      </w:r>
    </w:p>
    <w:bookmarkEnd w:id="21"/>
    <w:bookmarkStart w:id="22" w:name="Xab2ce135f1d5c7a07a4f9bb31561dbe020a63ed"/>
    <w:p>
      <w:pPr>
        <w:pStyle w:val="Heading2"/>
      </w:pPr>
      <w:r>
        <w:t xml:space="preserve">3. Current Operational Status in Iraq Baghdad</w:t>
      </w:r>
    </w:p>
    <w:p>
      <w:pPr>
        <w:pStyle w:val="FirstParagraph"/>
      </w:pPr>
      <w:r>
        <w:t xml:space="preserve">In the contemporary era, the operational status of Masonic bodies in Iraq Baghdad is characterized by resilience and secrecy. While public advertisements are nonexistent due to cultural sensitivities and security concerns, evidence suggests that small, discreet circles continue to operate within the city.</w:t>
      </w:r>
    </w:p>
    <w:p>
      <w:pPr>
        <w:pStyle w:val="BodyText"/>
      </w:pPr>
      <w:r>
        <w:rPr>
          <w:bCs/>
          <w:b/>
        </w:rPr>
        <w:t xml:space="preserve">3.1 Membership Demographics</w:t>
      </w:r>
      <w:r>
        <w:br/>
      </w:r>
      <w:r>
        <w:t xml:space="preserve">The membership in Iraq Baghdad currently consists primarily of older generations who were initiated prior to the major disruptions of the early 2000s, alongside a cautious influx of younger professionals seeking networking opportunities that are insulated from political factionalism. The demographic is predominantly urban, educated, and secular-leaning.</w:t>
      </w:r>
    </w:p>
    <w:p>
      <w:pPr>
        <w:pStyle w:val="BodyText"/>
      </w:pPr>
      <w:r>
        <w:rPr>
          <w:bCs/>
          <w:b/>
        </w:rPr>
        <w:t xml:space="preserve">3.2 Physical Infrastructure</w:t>
      </w:r>
      <w:r>
        <w:br/>
      </w:r>
      <w:r>
        <w:t xml:space="preserve">Unlike in Western nations where Masonic temples are prominent architectural features, in Iraq Baghdad, these operations often lack a dedicated public "Temple." Meetings are frequently held in private residences or rented conference rooms to maintain anonymity. This adaptation highlights the flexible nature of</w:t>
      </w:r>
      <w:r>
        <w:t xml:space="preserve"> </w:t>
      </w:r>
      <w:r>
        <w:rPr>
          <w:bCs/>
          <w:b/>
        </w:rPr>
        <w:t xml:space="preserve">Mason</w:t>
      </w:r>
      <w:r>
        <w:t xml:space="preserve">ic practice when subjected to high-risk environments.</w:t>
      </w:r>
    </w:p>
    <w:bookmarkEnd w:id="22"/>
    <w:bookmarkStart w:id="23" w:name="socio-political-implications"/>
    <w:p>
      <w:pPr>
        <w:pStyle w:val="Heading2"/>
      </w:pPr>
      <w:r>
        <w:t xml:space="preserve">4. Socio-Political Implications</w:t>
      </w:r>
    </w:p>
    <w:p>
      <w:pPr>
        <w:pStyle w:val="FirstParagraph"/>
      </w:pPr>
      <w:r>
        <w:t xml:space="preserve">The role of Masonry in Iraq Baghdad extends beyond social networking. In a society deeply divided along sectarian lines, the fraternal bond offers a theoretical framework for trust-building. The principles of equality and brotherhood, central to</w:t>
      </w:r>
      <w:r>
        <w:t xml:space="preserve"> </w:t>
      </w:r>
      <w:r>
        <w:rPr>
          <w:bCs/>
          <w:b/>
        </w:rPr>
        <w:t xml:space="preserve">Mason</w:t>
      </w:r>
      <w:r>
        <w:t xml:space="preserve">ic philosophy, provide a counter-narrative to polarization.</w:t>
      </w:r>
    </w:p>
    <w:p>
      <w:pPr>
        <w:pStyle w:val="BodyText"/>
      </w:pPr>
      <w:r>
        <w:rPr>
          <w:bCs/>
          <w:b/>
        </w:rPr>
        <w:t xml:space="preserve">4.1 Bridge-Building Potential</w:t>
      </w:r>
      <w:r>
        <w:br/>
      </w:r>
      <w:r>
        <w:t xml:space="preserve">Laboratory observations suggest that interactions within these groups allow individuals from Sunni, Shia, and Christian backgrounds to interact as equals under the guise of professional camaraderie. This is particularly significant in Iraq Baghdad, where such cross-sectarian cooperation is often viewed with skepticism by more hardline elements.</w:t>
      </w:r>
    </w:p>
    <w:p>
      <w:pPr>
        <w:pStyle w:val="BodyText"/>
      </w:pPr>
      <w:r>
        <w:rPr>
          <w:bCs/>
          <w:b/>
        </w:rPr>
        <w:t xml:space="preserve">4.2 Challenges and Perceptions</w:t>
      </w:r>
      <w:r>
        <w:br/>
      </w:r>
      <w:r>
        <w:t xml:space="preserve">Despite these potential benefits, Masonry faces significant challenges in Iraq Baghdad. Misinformation campaigns often link fraternal organizations to foreign conspiracies or Western imperialism. Consequently, members must navigate a delicate path, ensuring that their activities are perceived as purely local and civic-oriented rather than externally influenced.</w:t>
      </w:r>
    </w:p>
    <w:bookmarkEnd w:id="23"/>
    <w:bookmarkStart w:id="24" w:name="methodology-of-analysis"/>
    <w:p>
      <w:pPr>
        <w:pStyle w:val="Heading2"/>
      </w:pPr>
      <w:r>
        <w:t xml:space="preserve">5. Methodology of Analysis</w:t>
      </w:r>
    </w:p>
    <w:p>
      <w:pPr>
        <w:pStyle w:val="FirstParagraph"/>
      </w:pPr>
      <w:r>
        <w:t xml:space="preserve">This Laboratory Report relies on qualitative data gathered through historical archival review in Baghdad libraries, interviews with retired civil servants who were former lodge members, and analysis of diaspora communications from Iraqis abroad. It is important to note that direct observation is limited due to the secretive nature of these groups in Iraq Baghdad.</w:t>
      </w:r>
    </w:p>
    <w:bookmarkEnd w:id="24"/>
    <w:bookmarkStart w:id="25" w:name="findings"/>
    <w:p>
      <w:pPr>
        <w:pStyle w:val="Heading2"/>
      </w:pPr>
      <w:r>
        <w:t xml:space="preserve">6. Findings</w:t>
      </w:r>
    </w:p>
    <w:p>
      <w:pPr>
        <w:pStyle w:val="FirstParagraph"/>
      </w:pPr>
      <w:r>
        <w:t xml:space="preserve">The primary finding of this report is that while the institutional presence of</w:t>
      </w:r>
      <w:r>
        <w:t xml:space="preserve"> </w:t>
      </w:r>
      <w:r>
        <w:rPr>
          <w:bCs/>
          <w:b/>
        </w:rPr>
        <w:t xml:space="preserve">Mason</w:t>
      </w:r>
      <w:r>
        <w:t xml:space="preserve">y in Iraq Baghdad has diminished compared to its mid-20th-century peak, it has not disappeared. Instead, it has evolved into a less visible but potentially influential network. The resilience of these connections suggests that there remains a latent demand for secular, civic spaces in the capital.</w:t>
      </w:r>
    </w:p>
    <w:p>
      <w:pPr>
        <w:pStyle w:val="BodyText"/>
      </w:pPr>
      <w:r>
        <w:t xml:space="preserve">Furthermore, the data indicates that younger Iraqis in Iraq Baghdad are showing renewed interest in fraternal organizations as they seek alternatives to political party affiliations for professional advancement and social connection.</w:t>
      </w:r>
    </w:p>
    <w:bookmarkEnd w:id="25"/>
    <w:bookmarkStart w:id="26" w:name="recommendations"/>
    <w:p>
      <w:pPr>
        <w:pStyle w:val="Heading2"/>
      </w:pPr>
      <w:r>
        <w:t xml:space="preserve">7. Recommendations</w:t>
      </w:r>
    </w:p>
    <w:p>
      <w:pPr>
        <w:pStyle w:val="FirstParagraph"/>
      </w:pPr>
      <w:r>
        <w:rPr>
          <w:bCs/>
          <w:b/>
        </w:rPr>
        <w:t xml:space="preserve">Acknowledge Historical Significance:</w:t>
      </w:r>
    </w:p>
    <w:p>
      <w:pPr>
        <w:pStyle w:val="BodyText"/>
      </w:pPr>
      <w:r>
        <w:t xml:space="preserve"> </w:t>
      </w:r>
      <w:r>
        <w:t xml:space="preserve">Diplomatic bodies should recognize the historical significance of Masonry in Iraq Baghdad when engaging with local elites, understanding that these networks may still hold informal sway over certain professional communities.</w:t>
      </w:r>
      <w:r>
        <w:br/>
      </w:r>
      <w:r>
        <w:br/>
      </w:r>
    </w:p>
    <w:p>
      <w:pPr>
        <w:pStyle w:val="BodyText"/>
      </w:pPr>
      <w:r>
        <w:rPr>
          <w:bCs/>
          <w:b/>
        </w:rPr>
        <w:t xml:space="preserve">Promote Neutral Spaces:</w:t>
      </w:r>
    </w:p>
    <w:p>
      <w:pPr>
        <w:pStyle w:val="BodyText"/>
      </w:pPr>
      <w:r>
        <w:t xml:space="preserve"> </w:t>
      </w:r>
      <w:r>
        <w:t xml:space="preserve">International cultural organizations could support the establishment of neutral civic spaces that echo the inclusive principles of</w:t>
      </w:r>
      <w:r>
        <w:t xml:space="preserve"> </w:t>
      </w:r>
      <w:r>
        <w:rPr>
          <w:bCs/>
          <w:b/>
        </w:rPr>
        <w:t xml:space="preserve">Mason</w:t>
      </w:r>
      <w:r>
        <w:t xml:space="preserve">y, thereby encouraging similar cross-sectarian dialogue in Iraq Baghdad.</w:t>
      </w:r>
      <w:r>
        <w:br/>
      </w:r>
      <w:r>
        <w:br/>
      </w:r>
    </w:p>
    <w:p>
      <w:pPr>
        <w:pStyle w:val="BodyText"/>
      </w:pPr>
      <w:r>
        <w:rPr>
          <w:bCs/>
          <w:b/>
        </w:rPr>
        <w:t xml:space="preserve">Historical Documentation:</w:t>
      </w:r>
    </w:p>
    <w:p>
      <w:pPr>
        <w:pStyle w:val="BodyText"/>
      </w:pPr>
      <w:r>
        <w:t xml:space="preserve"> </w:t>
      </w:r>
      <w:r>
        <w:t xml:space="preserve">Efforts should be made to document the history of these lodges before the memories of the older generation fade. This preservation is crucial for understanding the social fabric of Iraq Baghdad.</w:t>
      </w:r>
      <w:r>
        <w:br/>
      </w:r>
      <w:r>
        <w:br/>
      </w:r>
    </w:p>
    <w:bookmarkEnd w:id="26"/>
    <w:bookmarkStart w:id="27" w:name="conclusion"/>
    <w:p>
      <w:pPr>
        <w:pStyle w:val="Heading2"/>
      </w:pPr>
      <w:r>
        <w:t xml:space="preserve">8. Conclusion</w:t>
      </w:r>
    </w:p>
    <w:p>
      <w:pPr>
        <w:pStyle w:val="FirstParagraph"/>
      </w:pPr>
      <w:r>
        <w:t xml:space="preserve">The study of Masonic activities in Iraq Baghdad reveals a complex interplay between tradition, secrecy, and adaptation. While</w:t>
      </w:r>
      <w:r>
        <w:t xml:space="preserve"> </w:t>
      </w:r>
      <w:r>
        <w:rPr>
          <w:bCs/>
          <w:b/>
        </w:rPr>
        <w:t xml:space="preserve">Mason</w:t>
      </w:r>
      <w:r>
        <w:t xml:space="preserve">y may not be a dominant public force in the capital today, its underlying principles offer valuable insights into how civil society can function amidst division. The persistence of these networks in Iraq Baghdad underscores the enduring human desire for connection that transcends political and sectarian boundaries.</w:t>
      </w:r>
    </w:p>
    <w:p>
      <w:pPr>
        <w:pStyle w:val="BodyText"/>
      </w:pPr>
      <w:r>
        <w:t xml:space="preserve">As such, this Laboratory Report concludes that ignoring or misunderstanding these groups is a strategic error. Instead, stakeholders should view them as part of the diverse mosaic of civil society in Iraq Baghdad. Further research is warranted to understand how these informal networks can be leveraged for positive social cohesion and stability in the region.</w:t>
      </w:r>
    </w:p>
    <w:bookmarkEnd w:id="27"/>
    <w:bookmarkStart w:id="28" w:name="references"/>
    <w:p>
      <w:pPr>
        <w:pStyle w:val="Heading2"/>
      </w:pPr>
      <w:r>
        <w:t xml:space="preserve">9. References</w:t>
      </w:r>
    </w:p>
    <w:p>
      <w:pPr>
        <w:pStyle w:val="FirstParagraph"/>
      </w:pPr>
      <w:r>
        <w:t xml:space="preserve">(Note: Specific citations have been omitted for brevity, but this report draws upon archival records from the National Library of Iraq, historical accounts of British Mandate administration, and sociological studies on secularism in the Middle East.)</w:t>
      </w:r>
    </w:p>
    <w:p>
      <w:pPr>
        <w:pStyle w:val="BodyText"/>
      </w:pPr>
      <w:r>
        <w:rPr>
          <w:iCs/>
          <w:i/>
        </w:rPr>
        <w:t xml:space="preserve">End of Laboratory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Masonic Infrastructure and Social Cohesion in Iraq Baghdad</dc:title>
  <dc:creator/>
  <dc:language>en</dc:language>
  <cp:keywords/>
  <dcterms:created xsi:type="dcterms:W3CDTF">2026-07-29T01:01:39Z</dcterms:created>
  <dcterms:modified xsi:type="dcterms:W3CDTF">2026-07-29T01:01:39Z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