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w:t>
      </w:r>
      <w:r>
        <w:t xml:space="preserve"> </w:t>
      </w:r>
      <w:r>
        <w:t xml:space="preserve">-</w:t>
      </w:r>
      <w:r>
        <w:t xml:space="preserve"> </w:t>
      </w:r>
      <w:r>
        <w:t xml:space="preserve">Tel</w:t>
      </w:r>
      <w:r>
        <w:t xml:space="preserve"> </w:t>
      </w:r>
      <w:r>
        <w:t xml:space="preserve">Aviv</w:t>
      </w:r>
      <w:r>
        <w:t xml:space="preserve"> </w:t>
      </w:r>
      <w:r>
        <w:t xml:space="preserve">Context</w:t>
      </w:r>
    </w:p>
    <w:bookmarkStart w:id="32" w:name="formal-laboratory-report"/>
    <w:p>
      <w:pPr>
        <w:pStyle w:val="Heading1"/>
      </w:pPr>
      <w:r>
        <w:t xml:space="preserve">FORMAL LABORATORY REPORT</w:t>
      </w:r>
    </w:p>
    <w:p>
      <w:pPr>
        <w:pStyle w:val="FirstParagraph"/>
      </w:pPr>
      <w:r>
        <w:t xml:space="preserve">Subject: Mason (M.S.C. No. 8842-B)</w:t>
      </w:r>
      <w:r>
        <w:br/>
      </w:r>
      <w:r>
        <w:t xml:space="preserve">Date of Observation: October 24, 2023</w:t>
      </w:r>
      <w:r>
        <w:br/>
      </w:r>
      <w:r>
        <w:t xml:space="preserve">Location: Tel Aviv Research Facility, District Jaffa</w:t>
      </w:r>
    </w:p>
    <w:p>
      <w:pPr>
        <w:pStyle w:val="BodyText"/>
      </w:pPr>
      <w:r>
        <w:t xml:space="preserve">Lead Investigator: Dr. A. Cohen</w:t>
      </w:r>
      <w:r>
        <w:br/>
      </w:r>
      <w:r>
        <w:t xml:space="preserve">Department of Urban Bio-Social Dynamics</w:t>
      </w:r>
      <w:r>
        <w:br/>
      </w:r>
      <w:r>
        <w:t xml:space="preserve">Status: Confidential / Restricted Access</w:t>
      </w:r>
    </w:p>
    <w:bookmarkStart w:id="20" w:name="i.-executive-summary-and-introduction"/>
    <w:p>
      <w:pPr>
        <w:pStyle w:val="Heading2"/>
      </w:pPr>
      <w:r>
        <w:t xml:space="preserve">I. Executive Summary and Introduction</w:t>
      </w:r>
    </w:p>
    <w:p>
      <w:pPr>
        <w:pStyle w:val="FirstParagraph"/>
      </w:pPr>
      <w:r>
        <w:t xml:space="preserve">This laboratory report serves as a comprehensive analysis of the subject designated as "Mason," within the unique socio-geographical context of Israel Tel Aviv. The primary objective of this study is to document the behavioral, physiological, and psychological responses of Mason during his integration phase into the high-density urban environment characteristic of modern Tel Aviv. As a critical component in our ongoing research regarding human adaptability to Mediterranean metropolises, Mason represents a controlled variable in our broader dataset concerning labor dynamics and cultural assimilation.</w:t>
      </w:r>
    </w:p>
    <w:p>
      <w:pPr>
        <w:pStyle w:val="BodyText"/>
      </w:pPr>
      <w:r>
        <w:t xml:space="preserve">Tel Aviv, often referred to as the "Bubble," presents a distinct paradox for subjects like Mason: it is an environment of extreme openness juxtaposed with rigid societal expectations. The purpose of this document is to provide a detailed account of Mason’s performance metrics, stress indicators, and cognitive processing speeds while navigating the complexities of daily life in Israel Tel Aviv. By isolating these variables, we aim to establish a baseline for future comparative studies involving similar subjects in high-pressure urban settings.</w:t>
      </w:r>
    </w:p>
    <w:bookmarkEnd w:id="20"/>
    <w:bookmarkStart w:id="24" w:name="ii.-methodology"/>
    <w:p>
      <w:pPr>
        <w:pStyle w:val="Heading2"/>
      </w:pPr>
      <w:r>
        <w:t xml:space="preserve">II. Methodology</w:t>
      </w:r>
    </w:p>
    <w:bookmarkStart w:id="21" w:name="a.-subject-profile-mason"/>
    <w:p>
      <w:pPr>
        <w:pStyle w:val="Heading3"/>
      </w:pPr>
      <w:r>
        <w:t xml:space="preserve">A. Subject Profile: Mason</w:t>
      </w:r>
    </w:p>
    <w:p>
      <w:pPr>
        <w:pStyle w:val="FirstParagraph"/>
      </w:pPr>
      <w:r>
        <w:t xml:space="preserve">Mason is an adult male subject, aged 28, with a background in structural engineering prior to his induction into the study. He was selected for this specific iteration of the experiment due to his demonstrated resilience in previous high-stress environments and his lack of prior exposure to Middle Eastern urban dynamics. The selection process ensured that Mason served as a neutral baseline, free from pre-existing biases or cultural knowledge that might skew the data regarding his reaction to Israel Tel Aviv.</w:t>
      </w:r>
    </w:p>
    <w:bookmarkEnd w:id="21"/>
    <w:bookmarkStart w:id="22" w:name="b.-environmental-parameters"/>
    <w:p>
      <w:pPr>
        <w:pStyle w:val="Heading3"/>
      </w:pPr>
      <w:r>
        <w:t xml:space="preserve">B. Environmental Parameters</w:t>
      </w:r>
    </w:p>
    <w:p>
      <w:pPr>
        <w:pStyle w:val="FirstParagraph"/>
      </w:pPr>
      <w:r>
        <w:t xml:space="preserve">The study was conducted entirely within the geographical boundaries of Israel Tel Aviv. Specific zones included the dense commercial districts of Rothschild Boulevard, the residential high-rises along the Mediterranean coastline, and the industrial corridors near Port Said. The environmental variables were strictly monitored, including temperature fluctuations ranging from 25°C to 35°C during peak daylight hours, noise pollution levels averaging 70 decibels in central hubs, and humidity levels typical of coastal Tel Aviv.</w:t>
      </w:r>
    </w:p>
    <w:bookmarkEnd w:id="22"/>
    <w:bookmarkStart w:id="23" w:name="c.-data-collection-instruments"/>
    <w:p>
      <w:pPr>
        <w:pStyle w:val="Heading3"/>
      </w:pPr>
      <w:r>
        <w:t xml:space="preserve">C. Data Collection Instruments</w:t>
      </w:r>
    </w:p>
    <w:p>
      <w:pPr>
        <w:pStyle w:val="FirstParagraph"/>
      </w:pPr>
      <w:r>
        <w:t xml:space="preserve">Data regarding Mason was collected using a combination of wearable biometric sensors and observational logs maintained by undercover field agents. The biometric data included heart rate variability (HRV), cortisol levels, and galvanic skin response. Observational logs focused on social interactions, navigation efficiency, and verbal communication patterns within the local dialect.</w:t>
      </w:r>
    </w:p>
    <w:bookmarkEnd w:id="23"/>
    <w:bookmarkEnd w:id="24"/>
    <w:bookmarkStart w:id="28" w:name="iii.-observations-and-results"/>
    <w:p>
      <w:pPr>
        <w:pStyle w:val="Heading2"/>
      </w:pPr>
      <w:r>
        <w:t xml:space="preserve">III. Observations and Results</w:t>
      </w:r>
    </w:p>
    <w:bookmarkStart w:id="25" w:name="a.-initial-adaptation-phase-days-1-7"/>
    <w:p>
      <w:pPr>
        <w:pStyle w:val="Heading3"/>
      </w:pPr>
      <w:r>
        <w:t xml:space="preserve">A. Initial Adaptation Phase (Days 1-7)</w:t>
      </w:r>
    </w:p>
    <w:p>
      <w:pPr>
        <w:pStyle w:val="FirstParagraph"/>
      </w:pPr>
      <w:r>
        <w:t xml:space="preserve">In the first week of exposure to Israel Tel Aviv, Mason exhibited significant physiological stress responses. His cortisol levels peaked during the morning commute along Dizengoff Street, where pedestrian density and traffic congestion are at their maximum. Despite this, Mason’s cognitive processing remained stable. He demonstrated a rapid ability to learn basic Hebrew greetings and local traffic norms, indicating high neuroplasticity in response to new cultural stimuli.</w:t>
      </w:r>
    </w:p>
    <w:p>
      <w:pPr>
        <w:pStyle w:val="BodyText"/>
      </w:pPr>
      <w:r>
        <w:t xml:space="preserve">Notably, Mason’s interaction with the local population revealed a unique aspect of Tel Aviv culture: the prevalence of direct communication. Initial interactions were perceived by Mason as aggressive due to his background in more formalized corporate environments. However, within three days, Mason adjusted his communicative style, adopting a more assertive yet polite tone that aligned with local expectations. This adaptation was flagged as a critical success metric for the study.</w:t>
      </w:r>
    </w:p>
    <w:bookmarkEnd w:id="25"/>
    <w:bookmarkStart w:id="26" w:name="b.-mid-study-integration-days-8-21"/>
    <w:p>
      <w:pPr>
        <w:pStyle w:val="Heading3"/>
      </w:pPr>
      <w:r>
        <w:t xml:space="preserve">B. Mid-Study Integration (Days 8-21)</w:t>
      </w:r>
    </w:p>
    <w:p>
      <w:pPr>
        <w:pStyle w:val="FirstParagraph"/>
      </w:pPr>
      <w:r>
        <w:t xml:space="preserve">During the second week, Mason’s biometric data showed a stabilization of heart rate and cortisol levels, suggesting successful acclimatization to the Israel Tel Aviv environment. He began participating in social gatherings within local cafes in Neve Tzedek, demonstrating improved fluidity in social exchanges. The ambient noise and heat of Tel Aviv no longer triggered significant startle responses.</w:t>
      </w:r>
    </w:p>
    <w:p>
      <w:pPr>
        <w:pStyle w:val="BodyText"/>
      </w:pPr>
      <w:r>
        <w:t xml:space="preserve">An interesting phenomenon observed was Mason’s appreciation for the "balagan" (chaos) inherent in Israeli daily life. Unlike initial reports of confusion, Mason began to exhibit signs of cognitive flexibility, viewing the disorganized nature of local bureaucracy and street dynamics not as stressors but as puzzles to be solved. This shift in perspective correlated with a marked decrease in his perceived mental fatigue.</w:t>
      </w:r>
    </w:p>
    <w:bookmarkEnd w:id="26"/>
    <w:bookmarkStart w:id="27" w:name="c.-final-assessment-days-22-30"/>
    <w:p>
      <w:pPr>
        <w:pStyle w:val="Heading3"/>
      </w:pPr>
      <w:r>
        <w:t xml:space="preserve">C. Final Assessment (Days 22-30)</w:t>
      </w:r>
    </w:p>
    <w:p>
      <w:pPr>
        <w:pStyle w:val="FirstParagraph"/>
      </w:pPr>
      <w:r>
        <w:t xml:space="preserve">In the final week, Mason demonstrated full functional integration into the Israel Tel Aviv context. He navigated complex logistical challenges independently and engaged in meaningful professional networking within the city’s tech hub. His Hebrew proficiency had advanced to a conversational level, allowing him to access social nuances previously inaccessible. The biometric data indicated that Mason’s baseline stress levels had returned to pre-study norms, suggesting that he had not only adapted but thrived.</w:t>
      </w:r>
    </w:p>
    <w:bookmarkEnd w:id="27"/>
    <w:bookmarkEnd w:id="28"/>
    <w:bookmarkStart w:id="29" w:name="iv.-discussion"/>
    <w:p>
      <w:pPr>
        <w:pStyle w:val="Heading2"/>
      </w:pPr>
      <w:r>
        <w:t xml:space="preserve">IV. Discussion</w:t>
      </w:r>
    </w:p>
    <w:p>
      <w:pPr>
        <w:pStyle w:val="FirstParagraph"/>
      </w:pPr>
      <w:r>
        <w:t xml:space="preserve">The findings from this study regarding Mason highlight the remarkable adaptability of human subjects when placed in the dynamic environment of Israel Tel Aviv. The city’s unique blend of Mediterranean climate, intense social interaction, and high-speed urban development provides a challenging yet rewarding ecosystem for personal growth.</w:t>
      </w:r>
    </w:p>
    <w:p>
      <w:pPr>
        <w:pStyle w:val="BodyText"/>
      </w:pPr>
      <w:r>
        <w:t xml:space="preserve">Mason’s journey illustrates that initial cultural shock is temporary and often leads to enhanced cognitive resilience. The directness of communication in Israel Tel Aviv, initially perceived as abrasive, served as a catalyst for Mason to develop sharper interpersonal skills. Furthermore, the physical environment of Tel Aviv, while demanding due to heat and density, fostered a sense of community belonging that counterbalanced individual stress.</w:t>
      </w:r>
    </w:p>
    <w:p>
      <w:pPr>
        <w:pStyle w:val="BodyText"/>
      </w:pPr>
      <w:r>
        <w:t xml:space="preserve">It is crucial to note that Mason’s success was not merely a result of personal grit but also facilitated by the inclusive nature of Tel Aviv society. The city’s reputation as an open, innovative hub provided ample opportunities for Mason to find purpose and connection, which were key factors in his positive adaptation.</w:t>
      </w:r>
    </w:p>
    <w:bookmarkEnd w:id="29"/>
    <w:bookmarkStart w:id="30" w:name="v.-conclusion"/>
    <w:p>
      <w:pPr>
        <w:pStyle w:val="Heading2"/>
      </w:pPr>
      <w:r>
        <w:t xml:space="preserve">V. Conclusion</w:t>
      </w:r>
    </w:p>
    <w:p>
      <w:pPr>
        <w:pStyle w:val="FirstParagraph"/>
      </w:pPr>
      <w:r>
        <w:t xml:space="preserve">In conclusion, this laboratory report confirms that Mason successfully integrated into the complex social and environmental fabric of Israel Tel Aviv. The data supports the hypothesis that human subjects can rapidly acclimatize to high-intensity urban environments when provided with adequate resources and time. Mason’s case study serves as a positive indicator for future research on urban adaptation.</w:t>
      </w:r>
    </w:p>
    <w:p>
      <w:pPr>
        <w:pStyle w:val="BodyText"/>
      </w:pPr>
      <w:r>
        <w:t xml:space="preserve">The implications of this study extend beyond individual psychology, offering insights into how cities like Israel Tel Aviv can be structured to support new residents. The balance of challenge and support observed in Mason’s experience suggests that the "Bubble" effect is not just an isolation mechanism but a incubator for rapid personal and professional development.</w:t>
      </w:r>
    </w:p>
    <w:bookmarkEnd w:id="30"/>
    <w:bookmarkStart w:id="31" w:name="vi.-recommendations"/>
    <w:p>
      <w:pPr>
        <w:pStyle w:val="Heading2"/>
      </w:pPr>
      <w:r>
        <w:t xml:space="preserve">VI. Recommendations</w:t>
      </w:r>
    </w:p>
    <w:p>
      <w:pPr>
        <w:numPr>
          <w:ilvl w:val="0"/>
          <w:numId w:val="1001"/>
        </w:numPr>
        <w:pStyle w:val="Compact"/>
      </w:pPr>
      <w:r>
        <w:rPr>
          <w:bCs/>
          <w:b/>
        </w:rPr>
        <w:t xml:space="preserve">Cultural Pre-Briefing:</w:t>
      </w:r>
    </w:p>
    <w:p>
      <w:pPr>
        <w:numPr>
          <w:ilvl w:val="0"/>
          <w:numId w:val="1001"/>
        </w:numPr>
        <w:pStyle w:val="Compact"/>
      </w:pPr>
      <w:r>
        <w:rPr>
          <w:bCs/>
          <w:b/>
        </w:rPr>
        <w:t xml:space="preserve">Social Integration Programs:</w:t>
      </w:r>
    </w:p>
    <w:p>
      <w:pPr>
        <w:numPr>
          <w:ilvl w:val="0"/>
          <w:numId w:val="1001"/>
        </w:numPr>
        <w:pStyle w:val="Compact"/>
      </w:pPr>
      <w:r>
        <w:t xml:space="preserve">Longitudinal Monitoring:</w:t>
      </w:r>
      <w:r>
        <w:t xml:space="preserve"> </w:t>
      </w:r>
      <w:r>
        <w:t xml:space="preserve">Extended monitoring of Mason and similar subjects is recommended to assess long-term retention of adaptive behaviors post-study.</w:t>
      </w:r>
    </w:p>
    <w:p>
      <w:pPr>
        <w:pStyle w:val="FirstParagraph"/>
      </w:pPr>
      <w:r>
        <w:rPr>
          <w:iCs/>
          <w:i/>
        </w:rPr>
        <w:t xml:space="preserve">This report has been compiled in accordance with the ethical guidelines for human subject research. All data pertaining to Mason remains confidential and protected under the privacy protocols established by the Israel Tel Aviv Research Oversight Committee.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 - Tel Aviv Context</dc:title>
  <dc:creator/>
  <dc:language>en</dc:language>
  <cp:keywords/>
  <dcterms:created xsi:type="dcterms:W3CDTF">2026-07-29T11:25:55Z</dcterms:created>
  <dcterms:modified xsi:type="dcterms:W3CDTF">2026-07-29T11:25:55Z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