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Assessment</w:t>
      </w:r>
      <w:r>
        <w:t xml:space="preserve"> </w:t>
      </w:r>
      <w:r>
        <w:t xml:space="preserve">and</w:t>
      </w:r>
      <w:r>
        <w:t xml:space="preserve"> </w:t>
      </w:r>
      <w:r>
        <w:t xml:space="preserve">Management</w:t>
      </w:r>
      <w:r>
        <w:t xml:space="preserve"> </w:t>
      </w:r>
      <w:r>
        <w:t xml:space="preserve">Plan:</w:t>
      </w:r>
      <w:r>
        <w:t xml:space="preserve"> </w:t>
      </w:r>
      <w:r>
        <w:t xml:space="preserve">Mason</w:t>
      </w:r>
      <w:r>
        <w:t xml:space="preserve"> </w:t>
      </w:r>
      <w:r>
        <w:t xml:space="preserve">-</w:t>
      </w:r>
      <w:r>
        <w:t xml:space="preserve"> </w:t>
      </w:r>
      <w:r>
        <w:t xml:space="preserve">Kuala</w:t>
      </w:r>
      <w:r>
        <w:t xml:space="preserve"> </w:t>
      </w:r>
      <w:r>
        <w:t xml:space="preserve">Lumpur</w:t>
      </w:r>
      <w:r>
        <w:t xml:space="preserve"> </w:t>
      </w:r>
      <w:r>
        <w:t xml:space="preserve">Context</w:t>
      </w:r>
    </w:p>
    <w:bookmarkStart w:id="20" w:name="Xc485f80dc1155419f51830fc06eb67e52d118a9"/>
    <w:p>
      <w:pPr>
        <w:pStyle w:val="Heading1"/>
      </w:pPr>
      <w:r>
        <w:t xml:space="preserve">Clinical Lab Report and Integrated Care Assessment</w:t>
      </w:r>
    </w:p>
    <w:p>
      <w:pPr>
        <w:pStyle w:val="FirstParagraph"/>
      </w:pPr>
      <w:r>
        <w:rPr>
          <w:bCs/>
          <w:b/>
        </w:rPr>
        <w:t xml:space="preserve">Patient ID:</w:t>
      </w:r>
      <w:r>
        <w:t xml:space="preserve"> </w:t>
      </w:r>
      <w:r>
        <w:t xml:space="preserve">MASON-2024-KL |</w:t>
      </w:r>
      <w:r>
        <w:t xml:space="preserve"> </w:t>
      </w:r>
      <w:r>
        <w:rPr>
          <w:bCs/>
          <w:b/>
        </w:rPr>
        <w:t xml:space="preserve">Date:</w:t>
      </w:r>
      <w:r>
        <w:t xml:space="preserve"> </w:t>
      </w:r>
      <w:r>
        <w:t xml:space="preserve">October 24, 2023 |</w:t>
      </w:r>
      <w:r>
        <w:t xml:space="preserve"> </w:t>
      </w:r>
      <w:r>
        <w:rPr>
          <w:bCs/>
          <w:b/>
        </w:rPr>
        <w:t xml:space="preserve">Location:</w:t>
      </w:r>
      <w:r>
        <w:t xml:space="preserve"> </w:t>
      </w:r>
      <w:r>
        <w:t xml:space="preserve">Kuala Lumpur, Malaysia</w:t>
      </w:r>
    </w:p>
    <w:bookmarkEnd w:id="20"/>
    <w:bookmarkStart w:id="21" w:name="introduction-and-clinical-background"/>
    <w:p>
      <w:pPr>
        <w:pStyle w:val="Heading2"/>
      </w:pPr>
      <w:r>
        <w:t xml:space="preserve">1. Introduction and Clinical Background</w:t>
      </w:r>
    </w:p>
    <w:p>
      <w:pPr>
        <w:pStyle w:val="FirstParagraph"/>
      </w:pPr>
      <w:r>
        <w:t xml:space="preserve">This comprehensive Lab Report details the diagnostic evaluation, physiological assessment, and subsequent management plan for the patient identified as</w:t>
      </w:r>
      <w:r>
        <w:t xml:space="preserve"> </w:t>
      </w:r>
      <w:r>
        <w:rPr>
          <w:bCs/>
          <w:b/>
        </w:rPr>
        <w:t xml:space="preserve">Mason</w:t>
      </w:r>
      <w:r>
        <w:t xml:space="preserve">. The clinical context is specifically situated within the healthcare infrastructure of</w:t>
      </w:r>
      <w:r>
        <w:t xml:space="preserve"> </w:t>
      </w:r>
      <w:r>
        <w:rPr>
          <w:bCs/>
          <w:b/>
        </w:rPr>
        <w:t xml:space="preserve">Kuala Lumpur, Malaysia</w:t>
      </w:r>
      <w:r>
        <w:t xml:space="preserve">, taking into account local epidemiological data, environmental factors unique to this tropical metropolis, and regulatory standards set by the Ministry of Health Malaysia (KKM). The purpose of this report is to synthesize laboratory findings with clinical observations to formulate a targeted intervention strategy for</w:t>
      </w:r>
      <w:r>
        <w:t xml:space="preserve"> </w:t>
      </w:r>
      <w:r>
        <w:rPr>
          <w:bCs/>
          <w:b/>
        </w:rPr>
        <w:t xml:space="preserve">Mason</w:t>
      </w:r>
      <w:r>
        <w:t xml:space="preserve">.</w:t>
      </w:r>
    </w:p>
    <w:p>
      <w:pPr>
        <w:pStyle w:val="BodyText"/>
      </w:pPr>
      <w:r>
        <w:rPr>
          <w:bCs/>
          <w:b/>
        </w:rPr>
        <w:t xml:space="preserve">Mason</w:t>
      </w:r>
      <w:r>
        <w:t xml:space="preserve"> </w:t>
      </w:r>
      <w:r>
        <w:t xml:space="preserve">presented at the tertiary care facility in central</w:t>
      </w:r>
      <w:r>
        <w:t xml:space="preserve"> </w:t>
      </w:r>
      <w:r>
        <w:rPr>
          <w:iCs/>
          <w:i/>
        </w:rPr>
        <w:t xml:space="preserve">Kuala Lumpur, Malaysia</w:t>
      </w:r>
      <w:r>
        <w:t xml:space="preserve">, with complaints of chronic fatigue, recurrent respiratory irritations, and mild electrolyte imbalances. Given that this case is being documented for a patient in</w:t>
      </w:r>
      <w:r>
        <w:t xml:space="preserve"> </w:t>
      </w:r>
      <w:r>
        <w:rPr>
          <w:iCs/>
          <w:i/>
        </w:rPr>
        <w:t xml:space="preserve">Kuala Lumpur, Malaysia</w:t>
      </w:r>
      <w:r>
        <w:t xml:space="preserve">, it is imperative to consider the high humidity levels and urban air quality indices typical of this region when interpreting pulmonary and metabolic lab results.</w:t>
      </w:r>
    </w:p>
    <w:bookmarkEnd w:id="21"/>
    <w:bookmarkStart w:id="22" w:name="laboratory-methodology"/>
    <w:p>
      <w:pPr>
        <w:pStyle w:val="Heading2"/>
      </w:pPr>
      <w:r>
        <w:t xml:space="preserve">2. Laboratory Methodology</w:t>
      </w:r>
    </w:p>
    <w:p>
      <w:pPr>
        <w:pStyle w:val="FirstParagraph"/>
      </w:pPr>
      <w:r>
        <w:t xml:space="preserve">All diagnostic procedures were conducted in accordance with the Standard Operating Procedures (SOPs) mandated by laboratories accredited within</w:t>
      </w:r>
      <w:r>
        <w:t xml:space="preserve"> </w:t>
      </w:r>
      <w:r>
        <w:rPr>
          <w:bCs/>
          <w:b/>
        </w:rPr>
        <w:t xml:space="preserve">Kuala Lumpur, Malaysia</w:t>
      </w:r>
      <w:r>
        <w:t xml:space="preserve">. The following methodologies were employed:</w:t>
      </w:r>
    </w:p>
    <w:p>
      <w:pPr>
        <w:numPr>
          <w:ilvl w:val="0"/>
          <w:numId w:val="1001"/>
        </w:numPr>
        <w:pStyle w:val="Compact"/>
      </w:pPr>
      <w:r>
        <w:rPr>
          <w:bCs/>
          <w:b/>
        </w:rPr>
        <w:t xml:space="preserve">Hematological Analysis:</w:t>
      </w:r>
      <w:r>
        <w:t xml:space="preserve"> </w:t>
      </w:r>
      <w:r>
        <w:t xml:space="preserve">Complete Blood Count (CBC) was performed using automated hematology analyzers calibrated for high-humidity environments to ensure accuracy of red and white blood cell indices.</w:t>
      </w:r>
    </w:p>
    <w:p>
      <w:pPr>
        <w:numPr>
          <w:ilvl w:val="0"/>
          <w:numId w:val="1001"/>
        </w:numPr>
        <w:pStyle w:val="Compact"/>
      </w:pPr>
      <w:r>
        <w:rPr>
          <w:bCs/>
          <w:b/>
        </w:rPr>
        <w:t xml:space="preserve">Biochemical Profiling:</w:t>
      </w:r>
      <w:r>
        <w:t xml:space="preserve"> </w:t>
      </w:r>
      <w:r>
        <w:t xml:space="preserve">Serum electrolytes, renal function tests (Creatinine, Urea), and liver function tests were analyzed using enzymatic colorimetric assays.</w:t>
      </w:r>
    </w:p>
    <w:p>
      <w:pPr>
        <w:numPr>
          <w:ilvl w:val="0"/>
          <w:numId w:val="1001"/>
        </w:numPr>
        <w:pStyle w:val="Compact"/>
      </w:pPr>
      <w:r>
        <w:rPr>
          <w:bCs/>
          <w:b/>
        </w:rPr>
        <w:t xml:space="preserve">Serological Screening:</w:t>
      </w:r>
      <w:r>
        <w:t xml:space="preserve"> </w:t>
      </w:r>
      <w:r>
        <w:t xml:space="preserve">Specific screening for tropical diseases prevalent in Southeast Asia was conducted to rule out vector-borne illnesses common in the</w:t>
      </w:r>
      <w:r>
        <w:t xml:space="preserve"> </w:t>
      </w:r>
      <w:r>
        <w:rPr>
          <w:iCs/>
          <w:i/>
        </w:rPr>
        <w:t xml:space="preserve">Kuala Lumpur, Malaysia</w:t>
      </w:r>
      <w:r>
        <w:t xml:space="preserve"> </w:t>
      </w:r>
      <w:r>
        <w:t xml:space="preserve">region.</w:t>
      </w:r>
    </w:p>
    <w:p>
      <w:pPr>
        <w:numPr>
          <w:ilvl w:val="0"/>
          <w:numId w:val="1001"/>
        </w:numPr>
        <w:pStyle w:val="Compact"/>
      </w:pPr>
      <w:r>
        <w:rPr>
          <w:bCs/>
          <w:b/>
        </w:rPr>
        <w:t xml:space="preserve">Pulmonary Function Tests:</w:t>
      </w:r>
      <w:r>
        <w:t xml:space="preserve">: Conducted to assess baseline lung capacity, adjusted for ambient temperature and pressure saturated with water vapor (BTPS), a critical correction factor in tropical climates like that of Malaysia.</w:t>
      </w:r>
    </w:p>
    <w:bookmarkEnd w:id="22"/>
    <w:bookmarkStart w:id="23" w:name="laboratory-results"/>
    <w:p>
      <w:pPr>
        <w:pStyle w:val="Heading2"/>
      </w:pPr>
      <w:r>
        <w:t xml:space="preserve">3. Laboratory Results</w:t>
      </w:r>
    </w:p>
    <w:p>
      <w:pPr>
        <w:pStyle w:val="FirstParagraph"/>
      </w:pPr>
      <w:r>
        <w:t xml:space="preserve">The following data represents the core findings for patient</w:t>
      </w:r>
      <w:r>
        <w:t xml:space="preserve"> </w:t>
      </w:r>
      <w:r>
        <w:rPr>
          <w:bCs/>
          <w:b/>
        </w:rPr>
        <w:t xml:space="preserve">Mason</w:t>
      </w:r>
      <w:r>
        <w:t xml:space="preserve">. All values are cross-referenced against reference ranges established by laboratories in Malaysia.</w:t>
      </w:r>
    </w:p>
    <w:p>
      <w:pPr>
        <w:pStyle w:val="BodyText"/>
      </w:pPr>
      <w:r>
        <w:t xml:space="preserve">Metric</w:t>
      </w:r>
    </w:p>
    <w:p>
      <w:pPr>
        <w:pStyle w:val="BodyText"/>
      </w:pPr>
      <w:r>
        <w:t xml:space="preserve">Patient Result (Mason)</w:t>
      </w:r>
    </w:p>
    <w:p>
      <w:pPr>
        <w:pStyle w:val="BodyText"/>
      </w:pPr>
      <w:r>
        <w:t xml:space="preserve">Radiological/Lab Reference Range (Malaysia Standard)</w:t>
      </w:r>
    </w:p>
    <w:p>
      <w:pPr>
        <w:pStyle w:val="BodyText"/>
      </w:pPr>
      <w:r>
        <w:t xml:space="preserve">Status</w:t>
      </w:r>
    </w:p>
    <w:p>
      <w:pPr>
        <w:pStyle w:val="BodyText"/>
      </w:pPr>
      <w:r>
        <w:t xml:space="preserve">Hemoglobin</w:t>
      </w:r>
    </w:p>
    <w:p>
      <w:pPr>
        <w:pStyle w:val="BodyText"/>
      </w:pPr>
      <w:r>
        <w:t xml:space="preserve">13.8 g/dL</w:t>
      </w:r>
    </w:p>
    <w:p>
      <w:pPr>
        <w:pStyle w:val="BodyText"/>
      </w:pPr>
      <w:r>
        <w:t xml:space="preserve">13.0 – 17.0 g/dL (Male)</w:t>
      </w:r>
    </w:p>
    <w:p>
      <w:pPr>
        <w:pStyle w:val="BodyText"/>
      </w:pPr>
      <w:r>
        <w:t xml:space="preserve">White Blood Cell Count</w:t>
      </w:r>
    </w:p>
    <w:p>
      <w:pPr>
        <w:pStyle w:val="BodyText"/>
      </w:pPr>
      <w:r>
        <w:t xml:space="preserve">14,500 /mm³</w:t>
      </w:r>
    </w:p>
    <w:p>
      <w:pPr>
        <w:pStyle w:val="BodyText"/>
      </w:pPr>
      <w:r>
        <w:t xml:space="preserve">4,50 – 11,0 /mm³</w:t>
      </w:r>
    </w:p>
    <w:p>
      <w:pPr>
        <w:pStyle w:val="BodyText"/>
      </w:pPr>
      <w:r>
        <w:t xml:space="preserve">C-Reactive Protein (CRP)</w:t>
      </w:r>
    </w:p>
    <w:p>
      <w:pPr>
        <w:pStyle w:val="BodyText"/>
      </w:pPr>
      <w:r>
        <w:t xml:space="preserve">4.5 mg/L</w:t>
      </w:r>
    </w:p>
    <w:p>
      <w:pPr>
        <w:pStyle w:val="BodyText"/>
      </w:pPr>
      <w:r>
        <w:t xml:space="preserve">&lt; 3.0 mg/L</w:t>
      </w:r>
    </w:p>
    <w:p>
      <w:pPr>
        <w:pStyle w:val="BodyText"/>
      </w:pPr>
      <w:r>
        <w:t xml:space="preserve">Sodium</w:t>
      </w:r>
    </w:p>
    <w:p>
      <w:pPr>
        <w:pStyle w:val="BodyText"/>
      </w:pPr>
      <w:r>
        <w:t xml:space="preserve">Potassium</w:t>
      </w:r>
    </w:p>
    <w:p>
      <w:pPr>
        <w:pStyle w:val="BodyText"/>
      </w:pPr>
      <w:r>
        <w:t xml:space="preserve">4.2 mmol/L</w:t>
      </w:r>
    </w:p>
    <w:p>
      <w:pPr>
        <w:pStyle w:val="BodyText"/>
      </w:pPr>
      <w:r>
        <w:t xml:space="preserve">3.5 – 5.0 mmol/L</w:t>
      </w:r>
    </w:p>
    <w:p>
      <w:pPr>
        <w:pStyle w:val="BodyText"/>
      </w:pPr>
      <w:r>
        <w:t xml:space="preserve">Liver Enzymes (ALT)</w:t>
      </w:r>
    </w:p>
    <w:p>
      <w:pPr>
        <w:pStyle w:val="BodyText"/>
      </w:pPr>
      <w:r>
        <w:t xml:space="preserve">Fasting Blood Glucose</w:t>
      </w:r>
    </w:p>
    <w:p>
      <w:pPr>
        <w:pStyle w:val="BodyText"/>
      </w:pPr>
      <w:r>
        <w:t xml:space="preserve">115 mg/dL</w:t>
      </w:r>
    </w:p>
    <w:p>
      <w:pPr>
        <w:pStyle w:val="BodyText"/>
      </w:pPr>
      <w:r>
        <w:t xml:space="preserve">70 – 99 mg/dL</w:t>
      </w:r>
    </w:p>
    <w:p>
      <w:pPr>
        <w:pStyle w:val="BodyText"/>
      </w:pPr>
      <w:r>
        <w:t xml:space="preserve">Lipid Profile (LDL)</w:t>
      </w:r>
    </w:p>
    <w:p>
      <w:pPr>
        <w:pStyle w:val="BodyText"/>
      </w:pPr>
      <w:r>
        <w:t xml:space="preserve">Fasting Blood Glucose</w:t>
      </w:r>
    </w:p>
    <w:p>
      <w:pPr>
        <w:pStyle w:val="BodyText"/>
      </w:pPr>
      <w:r>
        <w:t xml:space="preserve">115 mg/dL</w:t>
      </w:r>
    </w:p>
    <w:p>
      <w:pPr>
        <w:pStyle w:val="BodyText"/>
      </w:pPr>
      <w:r>
        <w:t xml:space="preserve">70 – 99 mg/dL</w:t>
      </w:r>
    </w:p>
    <w:p>
      <w:pPr>
        <w:pStyle w:val="BodyText"/>
      </w:pPr>
      <w:r>
        <w:rPr>
          <w:bCs/>
          <w:b/>
        </w:rPr>
        <w:t xml:space="preserve">Clinical Interpretation for Mason:</w:t>
      </w:r>
    </w:p>
    <w:p>
      <w:pPr>
        <w:pStyle w:val="BodyText"/>
      </w:pPr>
      <w:r>
        <w:t xml:space="preserve">The laboratory results indicate a mild leukocytosis (elevated white blood cell count) and elevated inflammatory markers, suggesting an active or recent infectious process. In the context of</w:t>
      </w:r>
      <w:r>
        <w:t xml:space="preserve"> </w:t>
      </w:r>
      <w:r>
        <w:rPr>
          <w:iCs/>
          <w:i/>
        </w:rPr>
        <w:t xml:space="preserve">Kuala Lumpur, Malaysia</w:t>
      </w:r>
      <w:r>
        <w:t xml:space="preserve">, where vector-borne diseases such as Dengue fever are endemic during monsoon seasons, this warrants further investigation to rule out viral etiologies. However, the absence of thrombocytopenia makes acute Dengue less likely at this specific moment.</w:t>
      </w:r>
    </w:p>
    <w:p>
      <w:pPr>
        <w:pStyle w:val="BodyText"/>
      </w:pPr>
      <w:r>
        <w:t xml:space="preserve">Furthermore, the borderline high fasting blood glucose levels in</w:t>
      </w:r>
      <w:r>
        <w:t xml:space="preserve"> </w:t>
      </w:r>
      <w:r>
        <w:rPr>
          <w:bCs/>
          <w:b/>
        </w:rPr>
        <w:t xml:space="preserve">Mason</w:t>
      </w:r>
      <w:r>
        <w:t xml:space="preserve"> </w:t>
      </w:r>
      <w:r>
        <w:t xml:space="preserve">suggest prediabetes. This is a significant finding given the rising prevalence of metabolic syndrome among urban populations in Southeast Asia. The environmental lifestyle factors typical of living in a major metropolitan hub like</w:t>
      </w:r>
      <w:r>
        <w:t xml:space="preserve"> </w:t>
      </w:r>
      <w:r>
        <w:rPr>
          <w:iCs/>
          <w:i/>
        </w:rPr>
        <w:t xml:space="preserve">Kuala Lumpur, Malaysia</w:t>
      </w:r>
      <w:r>
        <w:t xml:space="preserve">, including sedentary office work and dietary patterns rich in carbohydrates (such as rice-based diets), may contribute to this metabolic profile.</w:t>
      </w:r>
    </w:p>
    <w:bookmarkEnd w:id="23"/>
    <w:bookmarkStart w:id="24" w:name="X803d759683e3d0daac782463053bb5e921aa219"/>
    <w:p>
      <w:pPr>
        <w:pStyle w:val="Heading2"/>
      </w:pPr>
      <w:r>
        <w:t xml:space="preserve">4. Environmental and Epidemiological Context</w:t>
      </w:r>
    </w:p>
    <w:p>
      <w:pPr>
        <w:pStyle w:val="FirstParagraph"/>
      </w:pPr>
      <w:r>
        <w:t xml:space="preserve">An integral part of this Lab Report is the consideration of the local environment in</w:t>
      </w:r>
      <w:r>
        <w:t xml:space="preserve"> </w:t>
      </w:r>
      <w:r>
        <w:rPr>
          <w:bCs/>
          <w:b/>
        </w:rPr>
        <w:t xml:space="preserve">Kuala Lumpur, Malaysia</w:t>
      </w:r>
      <w:r>
        <w:t xml:space="preserve">. The humidity levels in this region average between 80% and 95%. High humidity can exacerbate respiratory conditions by promoting mold growth and dust mite proliferation. For patient</w:t>
      </w:r>
      <w:r>
        <w:t xml:space="preserve"> </w:t>
      </w:r>
      <w:r>
        <w:rPr>
          <w:bCs/>
          <w:b/>
        </w:rPr>
        <w:t xml:space="preserve">Mason</w:t>
      </w:r>
      <w:r>
        <w:t xml:space="preserve">, whose respiratory markers were mildly elevated, environmental control measures within the home or workplace in</w:t>
      </w:r>
      <w:r>
        <w:t xml:space="preserve"> </w:t>
      </w:r>
      <w:r>
        <w:rPr>
          <w:iCs/>
          <w:i/>
        </w:rPr>
        <w:t xml:space="preserve">Kuala Lumpur, Malaysia</w:t>
      </w:r>
      <w:r>
        <w:t xml:space="preserve"> </w:t>
      </w:r>
      <w:r>
        <w:t xml:space="preserve">are recommended as part of the treatment plan.</w:t>
      </w:r>
    </w:p>
    <w:p>
      <w:pPr>
        <w:pStyle w:val="BodyText"/>
      </w:pPr>
      <w:r>
        <w:t xml:space="preserve">Additionallly, air quality indices (AQI) in parts of Kuala Lumpur can fluctuate significantly due to regional haze during dry seasons. While current readings may be moderate, long-term exposure requires monitoring. This report recommends that</w:t>
      </w:r>
      <w:r>
        <w:t xml:space="preserve"> </w:t>
      </w:r>
      <w:r>
        <w:rPr>
          <w:bCs/>
          <w:b/>
        </w:rPr>
        <w:t xml:space="preserve">Mason</w:t>
      </w:r>
      <w:r>
        <w:t xml:space="preserve"> </w:t>
      </w:r>
      <w:r>
        <w:t xml:space="preserve">utilize air purification systems and monitor daily AQI forecasts provided by the Malaysian Department of Environment.</w:t>
      </w:r>
    </w:p>
    <w:bookmarkEnd w:id="24"/>
    <w:bookmarkStart w:id="25" w:name="diagnostic-impression"/>
    <w:p>
      <w:pPr>
        <w:pStyle w:val="Heading2"/>
      </w:pPr>
      <w:r>
        <w:t xml:space="preserve">5. Diagnostic Impression</w:t>
      </w:r>
    </w:p>
    <w:p>
      <w:pPr>
        <w:numPr>
          <w:ilvl w:val="0"/>
          <w:numId w:val="1002"/>
        </w:numPr>
        <w:pStyle w:val="Compact"/>
      </w:pPr>
      <w:r>
        <w:rPr>
          <w:bCs/>
          <w:b/>
        </w:rPr>
        <w:t xml:space="preserve">Mild Systemic Inflammation:</w:t>
      </w:r>
      <w:r>
        <w:t xml:space="preserve"> </w:t>
      </w:r>
      <w:r>
        <w:t xml:space="preserve">Likely secondary to a minor respiratory infection or allergic reaction, given the elevated CRP and WBC count.</w:t>
      </w:r>
    </w:p>
    <w:p>
      <w:pPr>
        <w:numPr>
          <w:ilvl w:val="0"/>
          <w:numId w:val="1002"/>
        </w:numPr>
        <w:pStyle w:val="Compact"/>
      </w:pPr>
      <w:r>
        <w:rPr>
          <w:bCs/>
          <w:b/>
        </w:rPr>
        <w:t xml:space="preserve">Prediabetes:</w:t>
      </w:r>
      <w:r>
        <w:t xml:space="preserve"> </w:t>
      </w:r>
      <w:r>
        <w:t xml:space="preserve">Evidenced by fasting glucose levels of 115 mg/dL. This requires lifestyle modification to prevent progression to Type 2 Diabetes.</w:t>
      </w:r>
    </w:p>
    <w:p>
      <w:pPr>
        <w:numPr>
          <w:ilvl w:val="0"/>
          <w:numId w:val="1002"/>
        </w:numPr>
        <w:pStyle w:val="Compact"/>
      </w:pPr>
      <w:r>
        <w:rPr>
          <w:bCs/>
          <w:b/>
        </w:rPr>
        <w:t xml:space="preserve">Potential Environmental Sensitivity:</w:t>
      </w:r>
      <w:r>
        <w:t xml:space="preserve"> </w:t>
      </w:r>
      <w:r>
        <w:t xml:space="preserve">Given the location in Kuala Lumpur, Malaysia, and the respiratory symptoms, environmental allergens (mold/dust) should be considered as contributing factors.</w:t>
      </w:r>
    </w:p>
    <w:bookmarkEnd w:id="25"/>
    <w:bookmarkStart w:id="26" w:name="X2875d07e9ce84b3bc48d4e8cce8391fc87e8893"/>
    <w:p>
      <w:pPr>
        <w:pStyle w:val="Heading2"/>
      </w:pPr>
      <w:r>
        <w:t xml:space="preserve">6. Recommendations and Management Plan for Mason</w:t>
      </w:r>
    </w:p>
    <w:p>
      <w:pPr>
        <w:pStyle w:val="FirstParagraph"/>
      </w:pPr>
      <w:r>
        <w:t xml:space="preserve">Based on the laboratory data and the specific context of Kuala Lumpur, Malaysia, the following management plan is recommended for patient</w:t>
      </w:r>
      <w:r>
        <w:t xml:space="preserve"> </w:t>
      </w:r>
      <w:r>
        <w:rPr>
          <w:bCs/>
          <w:b/>
        </w:rPr>
        <w:t xml:space="preserve">Mason</w:t>
      </w:r>
      <w:r>
        <w:t xml:space="preserve">:</w:t>
      </w:r>
    </w:p>
    <w:p>
      <w:pPr>
        <w:pStyle w:val="BodyText"/>
      </w:pPr>
      <w:r>
        <w:rPr>
          <w:bCs/>
          <w:b/>
        </w:rPr>
        <w:t xml:space="preserve">Treatment:</w:t>
      </w:r>
    </w:p>
    <w:p>
      <w:pPr>
        <w:numPr>
          <w:ilvl w:val="0"/>
          <w:numId w:val="1003"/>
        </w:numPr>
        <w:pStyle w:val="Compact"/>
      </w:pPr>
      <w:r>
        <w:t xml:space="preserve">No immediate antibiotic therapy is required unless symptoms worsen or a bacterial culture confirms infection. A watchful waiting period of 7 days is advised.</w:t>
      </w:r>
    </w:p>
    <w:p>
      <w:pPr>
        <w:numPr>
          <w:ilvl w:val="0"/>
          <w:numId w:val="1003"/>
        </w:numPr>
        <w:pStyle w:val="Compact"/>
      </w:pPr>
      <w:r>
        <w:t xml:space="preserve">Pain management with Paracetamol, which is widely available and safe in the Malaysian market.</w:t>
      </w:r>
    </w:p>
    <w:p>
      <w:pPr>
        <w:pStyle w:val="FirstParagraph"/>
      </w:pPr>
      <w:r>
        <w:rPr>
          <w:bCs/>
          <w:b/>
        </w:rPr>
        <w:t xml:space="preserve">Lifestyle Modifications:</w:t>
      </w:r>
    </w:p>
    <w:p>
      <w:pPr>
        <w:pStyle w:val="BodyText"/>
      </w:pPr>
      <w:r>
        <w:rPr>
          <w:bCs/>
          <w:b/>
        </w:rPr>
        <w:t xml:space="preserve">Mason</w:t>
      </w:r>
      <w:r>
        <w:t xml:space="preserve"> </w:t>
      </w:r>
      <w:r>
        <w:t xml:space="preserve">should engage in regular physical activity. Kuala Lumpur offers excellent facilities for this, such as the KLCC Park or Bukit Nanas Forest Reserve. However, given the heat and humidity, activities should be scheduled during cooler morning or evening hours to prevent heat stress.</w:t>
      </w:r>
    </w:p>
    <w:p>
      <w:pPr>
        <w:pStyle w:val="BodyText"/>
      </w:pPr>
      <w:r>
        <w:rPr>
          <w:bCs/>
          <w:b/>
        </w:rPr>
        <w:t xml:space="preserve">Dietary Changes:</w:t>
      </w:r>
    </w:p>
    <w:p>
      <w:pPr>
        <w:pStyle w:val="BodyText"/>
      </w:pPr>
      <w:r>
        <w:t xml:space="preserve">To address the prediabetic markers, dietary adjustments are crucial. This includes reducing intake of sugary beverages (such as teh tarik or cendol) which are popular in Malaysia and consuming more vegetables and lean proteins. Consultation with a local dietitian familiar with Malaysian cuisine is recommended to ensure cultural appropriateness while achieving nutritional goals.</w:t>
      </w:r>
    </w:p>
    <w:p>
      <w:pPr>
        <w:pStyle w:val="BodyText"/>
      </w:pPr>
      <w:r>
        <w:rPr>
          <w:bCs/>
          <w:b/>
        </w:rPr>
        <w:t xml:space="preserve">Follow-up:</w:t>
      </w:r>
    </w:p>
    <w:p>
      <w:pPr>
        <w:pStyle w:val="BodyText"/>
      </w:pPr>
      <w:r>
        <w:t xml:space="preserve">A repeat blood test, specifically focusing on HbA1c and lipid profile, should be conducted in 3 months. If inflammatory markers remain elevated, further pulmonary imaging or referral to a specialist in</w:t>
      </w:r>
      <w:r>
        <w:t xml:space="preserve"> </w:t>
      </w:r>
      <w:r>
        <w:rPr>
          <w:iCs/>
          <w:i/>
        </w:rPr>
        <w:t xml:space="preserve">Kuala Lumpur</w:t>
      </w:r>
      <w:r>
        <w:t xml:space="preserve"> </w:t>
      </w:r>
      <w:r>
        <w:t xml:space="preserve">may be necessary.</w:t>
      </w:r>
    </w:p>
    <w:bookmarkEnd w:id="26"/>
    <w:bookmarkStart w:id="27" w:name="conclusion"/>
    <w:p>
      <w:pPr>
        <w:pStyle w:val="Heading2"/>
      </w:pPr>
      <w:r>
        <w:t xml:space="preserve">7. Conclusion</w:t>
      </w:r>
    </w:p>
    <w:p>
      <w:pPr>
        <w:pStyle w:val="FirstParagraph"/>
      </w:pPr>
      <w:r>
        <w:t xml:space="preserve">This Lab Report provides a comprehensive overview of the health status of patient</w:t>
      </w:r>
      <w:r>
        <w:t xml:space="preserve"> </w:t>
      </w:r>
      <w:r>
        <w:rPr>
          <w:bCs/>
          <w:b/>
        </w:rPr>
        <w:t xml:space="preserve">Mason</w:t>
      </w:r>
      <w:r>
        <w:t xml:space="preserve">. The findings highlight a combination of mild inflammatory activity and metabolic risk factors, which are being contextualized within the specific environmental and epidemiological landscape of</w:t>
      </w:r>
      <w:r>
        <w:t xml:space="preserve"> </w:t>
      </w:r>
      <w:r>
        <w:rPr>
          <w:iCs/>
          <w:i/>
        </w:rPr>
        <w:t xml:space="preserve">Kuala Lumpur, Malaysia</w:t>
      </w:r>
      <w:r>
        <w:t xml:space="preserve">. By addressing these issues through targeted medical intervention and lifestyle adjustments adapted to local living conditions, there is a strong potential for positive health outcomes. Continued monitoring by healthcare providers in the region will ensure that any evolving clinical signs are managed promptly and effectively.</w:t>
      </w:r>
    </w:p>
    <w:p>
      <w:pPr>
        <w:pStyle w:val="BodyText"/>
      </w:pPr>
      <w:r>
        <w:rPr>
          <w:iCs/>
          <w:i/>
        </w:rPr>
        <w:t xml:space="preserve">This document was generated on October 24, 2023. All medical advice contained herein is subject to review by a licensed physician practicing in Malaysia. This report serves as an internal documentation tool for the clinical team managing Mason's care.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Assessment and Management Plan: Mason - Kuala Lumpur Context</dc:title>
  <dc:creator/>
  <dc:language>en</dc:language>
  <cp:keywords/>
  <dcterms:created xsi:type="dcterms:W3CDTF">2026-07-29T14:00:58Z</dcterms:created>
  <dcterms:modified xsi:type="dcterms:W3CDTF">2026-07-29T14:00:58Z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