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r>
        <w:t xml:space="preserve"> </w:t>
      </w:r>
      <w:r>
        <w:t xml:space="preserve">Analysis</w:t>
      </w:r>
      <w:r>
        <w:t xml:space="preserve"> </w:t>
      </w:r>
      <w:r>
        <w:t xml:space="preserve">in</w:t>
      </w:r>
      <w:r>
        <w:t xml:space="preserve"> </w:t>
      </w:r>
      <w:r>
        <w:t xml:space="preserve">Singapore</w:t>
      </w:r>
    </w:p>
    <w:p>
      <w:pPr>
        <w:pStyle w:val="FirstParagraph"/>
      </w:pPr>
      <w:r>
        <w:t xml:space="preserve">```html</w:t>
      </w:r>
    </w:p>
    <w:p>
      <w:pPr>
        <w:pStyle w:val="BodyText"/>
      </w:pPr>
      <w:r>
        <w:rPr>
          <w:bCs/>
          <w:b/>
        </w:rPr>
        <w:t xml:space="preserve">Date:</w:t>
      </w:r>
      <w:r>
        <w:t xml:space="preserve"> </w:t>
      </w:r>
      <w:r>
        <w:t xml:space="preserve">May 24, 2024</w:t>
      </w:r>
      <w:r>
        <w:br/>
      </w:r>
      <w:r>
        <w:rPr>
          <w:bCs/>
          <w:b/>
        </w:rPr>
        <w:t xml:space="preserve">Laboratory Code:</w:t>
      </w:r>
      <w:r>
        <w:t xml:space="preserve">SIN-MASON-01</w:t>
      </w:r>
      <w:r>
        <w:br/>
      </w:r>
      <w:r>
        <w:rPr>
          <w:bCs/>
          <w:b/>
        </w:rPr>
        <w:t xml:space="preserve">Patient Name:</w:t>
      </w:r>
      <w:r>
        <w:t xml:space="preserve"> </w:t>
      </w:r>
      <w:r>
        <w:t xml:space="preserve">Mason</w:t>
      </w:r>
      <w:r>
        <w:br/>
      </w:r>
      <w:r>
        <w:rPr>
          <w:bCs/>
          <w:b/>
        </w:rPr>
        <w:t xml:space="preserve">ID Number</w:t>
      </w:r>
      <w:r>
        <w:t xml:space="preserve">: S9876543A</w:t>
      </w:r>
      <w:r>
        <w:br/>
      </w:r>
    </w:p>
    <w:p>
      <w:pPr>
        <w:pStyle w:val="BodyText"/>
      </w:pPr>
      <w:r>
        <w:rPr>
          <w:bCs/>
          <w:b/>
        </w:rPr>
        <w:t xml:space="preserve">Laboratory Facility Location:</w:t>
      </w:r>
      <w:r>
        <w:t xml:space="preserve">Singapore, Singapore</w:t>
      </w:r>
    </w:p>
    <w:bookmarkStart w:id="20" w:name="X491ba221fc0f5c198508ae7a312bdb8b3bcffe3"/>
    <w:p>
      <w:pPr>
        <w:pStyle w:val="Heading1"/>
      </w:pPr>
      <w:r>
        <w:t xml:space="preserve">Laboratory Report: Mason Analysis in Singapore</w:t>
      </w:r>
    </w:p>
    <w:p>
      <w:pPr>
        <w:pStyle w:val="FirstParagraph"/>
      </w:pPr>
      <w:r>
        <w:rPr>
          <w:bCs/>
          <w:b/>
        </w:rPr>
        <w:t xml:space="preserve">Patient Name:</w:t>
      </w:r>
      <w:r>
        <w:t xml:space="preserve"> </w:t>
      </w:r>
      <w:r>
        <w:t xml:space="preserve">Mason</w:t>
      </w:r>
      <w:r>
        <w:br/>
      </w:r>
      <w:r>
        <w:rPr>
          <w:bCs/>
          <w:b/>
        </w:rPr>
        <w:t xml:space="preserve">ID Number:</w:t>
      </w:r>
      <w:r>
        <w:t xml:space="preserve">S9876543A</w:t>
      </w:r>
      <w:r>
        <w:br/>
      </w:r>
      <w:r>
        <w:rPr>
          <w:bCs/>
          <w:b/>
        </w:rPr>
        <w:t xml:space="preserve">Date of Birth:</w:t>
      </w:r>
      <w:r>
        <w:t xml:space="preserve"> </w:t>
      </w:r>
      <w:r>
        <w:t xml:space="preserve">02/02/2015</w:t>
      </w:r>
      <w:r>
        <w:br/>
      </w:r>
      <w:r>
        <w:rPr>
          <w:iCs/>
          <w:i/>
        </w:rPr>
        <w:t xml:space="preserve">(Age: 9 Years)</w:t>
      </w:r>
    </w:p>
    <w:bookmarkEnd w:id="20"/>
    <w:bookmarkStart w:id="27" w:name="Xe38d88543aca0379656ce4ed8a16456bc86cd2d"/>
    <w:p>
      <w:pPr>
        <w:pStyle w:val="Heading1"/>
      </w:pPr>
      <w:r>
        <w:t xml:space="preserve">Laboratory Report: Mason Analysis in Singapore</w:t>
      </w:r>
    </w:p>
    <w:p>
      <w:pPr>
        <w:pStyle w:val="FirstParagraph"/>
      </w:pPr>
      <w:r>
        <w:rPr>
          <w:bCs/>
          <w:b/>
        </w:rPr>
        <w:t xml:space="preserve">Patient Name:</w:t>
      </w:r>
      <w:r>
        <w:t xml:space="preserve">Mason</w:t>
      </w:r>
      <w:r>
        <w:br/>
      </w:r>
      <w:r>
        <w:rPr>
          <w:bCs/>
          <w:b/>
        </w:rPr>
        <w:t xml:space="preserve">ID Number:</w:t>
      </w:r>
      <w:r>
        <w:t xml:space="preserve">S9876543A</w:t>
      </w:r>
      <w:r>
        <w:br/>
      </w:r>
      <w:r>
        <w:rPr>
          <w:bCs/>
          <w:b/>
        </w:rPr>
        <w:t xml:space="preserve">Date of Birth</w:t>
      </w:r>
      <w:r>
        <w:t xml:space="preserve">:02/02/2015</w:t>
      </w:r>
      <w:r>
        <w:br/>
      </w:r>
      <w:r>
        <w:t xml:space="preserve">(Age: 9 Years)</w:t>
      </w:r>
    </w:p>
    <w:p>
      <w:pPr>
        <w:pStyle w:val="BodyText"/>
      </w:pPr>
      <w:r>
        <w:t xml:space="preserve">This comprehensive laboratory report outlines the detailed diagnostic findings for the patient identified as Mason. The analysis was conducted within the stringent protocols of a Singapore, Singapore medical facility, ensuring that all procedures align with local health regulations and international scientific standards.</w:t>
      </w:r>
    </w:p>
    <w:bookmarkStart w:id="21" w:name="clinical-context-and-objective"/>
    <w:p>
      <w:pPr>
        <w:pStyle w:val="Heading2"/>
      </w:pPr>
      <w:r>
        <w:t xml:space="preserve">Clinical Context and Objective</w:t>
      </w:r>
    </w:p>
    <w:p>
      <w:pPr>
        <w:pStyle w:val="FirstParagraph"/>
      </w:pPr>
      <w:r>
        <w:t xml:space="preserve">Mason presented to this facility in Singapore with symptoms indicative of potential environmental allergies exacerbated by the tropical climate specific to our region. Given that Mason resides in Singapore, a densely populated urban environment characterized by high humidity and year-round warmth, clinicians suspected an elevated immune response to local allergens. The primary objective of this laboratory report was to quantify Mason's immunoglobulin E (IgE) levels, perform a complete blood count (CBC) with differential analysis, and conduct specific skin-prick testing equivalents in vitro. These measures are crucial for developing a tailored management plan for Mason's health within the unique environmental context of Singapore.</w:t>
      </w:r>
    </w:p>
    <w:bookmarkEnd w:id="21"/>
    <w:bookmarkStart w:id="22" w:name="methodology"/>
    <w:p>
      <w:pPr>
        <w:pStyle w:val="Heading2"/>
      </w:pPr>
      <w:r>
        <w:t xml:space="preserve">Methodology</w:t>
      </w:r>
    </w:p>
    <w:p>
      <w:pPr>
        <w:pStyle w:val="FirstParagraph"/>
      </w:pPr>
      <w:r>
        <w:t xml:space="preserve">All samples from Mason were processed using state-of-the-art automated immunoassay analyzers and flow cytometry equipment standard in leading laboratories across Singapore. The following methodologies were employed:</w:t>
      </w:r>
    </w:p>
    <w:p>
      <w:pPr>
        <w:numPr>
          <w:ilvl w:val="0"/>
          <w:numId w:val="1001"/>
        </w:numPr>
        <w:pStyle w:val="Compact"/>
      </w:pPr>
      <w:r>
        <w:rPr>
          <w:bCs/>
          <w:b/>
        </w:rPr>
        <w:t xml:space="preserve">Total IgE Measurement:</w:t>
      </w:r>
      <w:r>
        <w:t xml:space="preserve">Radioligand Immunoassay.</w:t>
      </w:r>
    </w:p>
    <w:p>
      <w:pPr>
        <w:numPr>
          <w:ilvl w:val="0"/>
          <w:numId w:val="1001"/>
        </w:numPr>
        <w:pStyle w:val="Compact"/>
      </w:pPr>
      <w:r>
        <w:rPr>
          <w:bCs/>
          <w:b/>
        </w:rPr>
        <w:t xml:space="preserve">Complete Blood Count (CBC):</w:t>
      </w:r>
      <w:r>
        <w:t xml:space="preserve">Hematological Analyzer with manual differential review.</w:t>
      </w:r>
    </w:p>
    <w:p>
      <w:pPr>
        <w:numPr>
          <w:ilvl w:val="0"/>
          <w:numId w:val="1001"/>
        </w:numPr>
        <w:pStyle w:val="Compact"/>
      </w:pPr>
      <w:r>
        <w:t xml:space="preserve">Cytokine Profiling: Multiplex bead assay to assess inflammatory markers relevant to Mason's condition in the Singaporean environment.</w:t>
      </w:r>
    </w:p>
    <w:bookmarkEnd w:id="22"/>
    <w:bookmarkStart w:id="23" w:name="laboratory-findings"/>
    <w:p>
      <w:pPr>
        <w:pStyle w:val="Heading2"/>
      </w:pPr>
      <w:r>
        <w:t xml:space="preserve">Laboratory Findings</w:t>
      </w:r>
    </w:p>
    <w:p>
      <w:pPr>
        <w:pStyle w:val="FirstParagraph"/>
      </w:pPr>
      <w:r>
        <w:t xml:space="preserve">The results obtained from Mason's biological samples are presented below. These data points serve as the foundational evidence for our diagnostic conclusions regarding Mason's health status in Singapore.</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Test Parameter</w:t>
            </w:r>
          </w:p>
        </w:tc>
        <w:tc>
          <w:tcPr/>
          <w:p>
            <w:pPr>
              <w:pStyle w:val="Compact"/>
              <w:jc w:val="left"/>
            </w:pPr>
            <w:r>
              <w:t xml:space="preserve">MASON'S RESULT</w:t>
            </w:r>
          </w:p>
        </w:tc>
        <w:tc>
          <w:tcPr/>
          <w:p>
            <w:pPr>
              <w:pStyle w:val="Compact"/>
              <w:jc w:val="left"/>
            </w:pPr>
            <w:r>
              <w:t xml:space="preserve">NORMAL REFERENCE RANGE (Singapore Standard)</w:t>
            </w:r>
          </w:p>
        </w:tc>
      </w:tr>
      <w:tr>
        <w:tc>
          <w:tcPr/>
          <w:p>
            <w:pPr>
              <w:pStyle w:val="Compact"/>
              <w:jc w:val="left"/>
            </w:pPr>
            <w:r>
              <w:t xml:space="preserve">Total IgE (KU/L)</w:t>
            </w:r>
          </w:p>
        </w:tc>
        <w:tc>
          <w:tcPr/>
          <w:p>
            <w:pPr>
              <w:pStyle w:val="Compact"/>
              <w:jc w:val="left"/>
            </w:pPr>
            <w:r>
              <w:t xml:space="preserve">145.2 TD &gt;</w:t>
            </w:r>
          </w:p>
        </w:tc>
        <w:tc>
          <w:tcPr/>
          <w:p>
            <w:pPr>
              <w:pStyle w:val="Compact"/>
              <w:jc w:val="left"/>
            </w:pPr>
            <w:r>
              <w:t xml:space="preserve">0 – 120 KU/L</w:t>
            </w:r>
          </w:p>
        </w:tc>
      </w:tr>
      <w:tr>
        <w:tc>
          <w:tcPr/>
          <w:p>
            <w:pPr>
              <w:pStyle w:val="Compact"/>
              <w:jc w:val="left"/>
            </w:pPr>
            <w:r>
              <w:t xml:space="preserve">Dominant Allergen Sensitivity (Specific IgE)</w:t>
            </w:r>
          </w:p>
        </w:tc>
        <w:tc>
          <w:tcPr/>
          <w:p>
            <w:pPr>
              <w:pStyle w:val="Compact"/>
              <w:jc w:val="left"/>
            </w:pPr>
            <w:r>
              <w:t xml:space="preserve">House Dust Mite, D.pteronyssinus</w:t>
            </w:r>
            <w:r>
              <w:br/>
            </w:r>
            <w:r>
              <w:t xml:space="preserve">Pollens, Parthenium hysterophorus</w:t>
            </w:r>
          </w:p>
        </w:tc>
        <w:tc>
          <w:tcPr/>
          <w:p>
            <w:pPr>
              <w:pStyle w:val="Compact"/>
              <w:jc w:val="left"/>
            </w:pPr>
            <w:r>
              <w:t xml:space="preserve">Negative/Undetectable</w:t>
            </w:r>
          </w:p>
        </w:tc>
      </w:tr>
      <w:tr>
        <w:tc>
          <w:tcPr/>
          <w:p>
            <w:pPr>
              <w:pStyle w:val="Compact"/>
              <w:jc w:val="left"/>
            </w:pPr>
            <w:r>
              <w:t xml:space="preserve">Eosinophil Count (/uL)</w:t>
            </w:r>
          </w:p>
        </w:tc>
        <w:tc>
          <w:tcPr/>
          <w:p>
            <w:pPr>
              <w:pStyle w:val="Compact"/>
              <w:jc w:val="left"/>
            </w:pPr>
            <w:r>
              <w:t xml:space="preserve">480/TD&gt;</w:t>
            </w:r>
          </w:p>
        </w:tc>
        <w:tc>
          <w:tcPr/>
          <w:p>
            <w:pPr>
              <w:pStyle w:val="Compact"/>
              <w:jc w:val="left"/>
            </w:pPr>
            <w:r>
              <w:t xml:space="preserve">0 – 350 /uL</w:t>
            </w:r>
          </w:p>
        </w:tc>
      </w:tr>
      <w:tr>
        <w:tc>
          <w:tcPr/>
          <w:p>
            <w:pPr>
              <w:pStyle w:val="Compact"/>
              <w:jc w:val="left"/>
            </w:pPr>
            <w:r>
              <w:t xml:space="preserve">C-Reactive Protein (mg/L)</w:t>
            </w:r>
          </w:p>
        </w:tc>
        <w:tc>
          <w:tcPr/>
          <w:p>
            <w:pPr>
              <w:pStyle w:val="Compact"/>
              <w:jc w:val="left"/>
            </w:pPr>
            <w:r>
              <w:t xml:space="preserve">2.1</w:t>
            </w:r>
          </w:p>
        </w:tc>
        <w:tc>
          <w:tcPr/>
          <w:p>
            <w:pPr>
              <w:pStyle w:val="Compact"/>
              <w:jc w:val="left"/>
            </w:pPr>
            <w:r>
              <w:t xml:space="preserve">0.1 – 3.0 mg/L</w:t>
            </w:r>
          </w:p>
        </w:tc>
      </w:tr>
      <w:tr>
        <w:tc>
          <w:tcPr/>
          <w:p>
            <w:pPr>
              <w:pStyle w:val="Compact"/>
              <w:jc w:val="left"/>
            </w:pPr>
            <w:r>
              <w:t xml:space="preserve">Vitamin D Levels (ng/mL)</w:t>
            </w:r>
          </w:p>
        </w:tc>
        <w:tc>
          <w:tcPr/>
          <w:p>
            <w:pPr>
              <w:pStyle w:val="Compact"/>
              <w:jc w:val="left"/>
            </w:pPr>
            <w:r>
              <w:t xml:space="preserve">28/TD&gt;</w:t>
            </w:r>
          </w:p>
        </w:tc>
        <w:tc>
          <w:tcPr/>
          <w:p>
            <w:pPr>
              <w:pStyle w:val="Compact"/>
              <w:jc w:val="left"/>
            </w:pPr>
            <w:r>
              <w:t xml:space="preserve">30 – 50 NG/ML (Optimal for Singapore Sunlight Exposure)</w:t>
            </w:r>
          </w:p>
        </w:tc>
      </w:tr>
    </w:tbl>
    <w:bookmarkEnd w:id="23"/>
    <w:bookmarkStart w:id="24" w:name="detailed-analysis-of-masons-results"/>
    <w:p>
      <w:pPr>
        <w:pStyle w:val="Heading2"/>
      </w:pPr>
      <w:r>
        <w:t xml:space="preserve">Detailed Analysis of Mason's Results</w:t>
      </w:r>
    </w:p>
    <w:p>
      <w:pPr>
        <w:pStyle w:val="FirstParagraph"/>
      </w:pPr>
      <w:r>
        <w:t xml:space="preserve">The laboratory data reveals significant insights into Mason's physiological state. Notably, Mason’s total IgE levels are elevated above the standard reference range utilized in Singapore clinical practice. This elevation correlates strongly with the specific IgE positivity for House Dust Mites (</w:t>
      </w:r>
      <w:r>
        <w:rPr>
          <w:iCs/>
          <w:i/>
        </w:rPr>
        <w:t xml:space="preserve">Dermatophagoides pteronyssinus</w:t>
      </w:r>
      <w:r>
        <w:t xml:space="preserve">) and local pollen sources such as Parthenium weed, which is prevalent in green spaces across Singapore.</w:t>
      </w:r>
    </w:p>
    <w:p>
      <w:pPr>
        <w:pStyle w:val="BodyText"/>
      </w:pPr>
      <w:r>
        <w:t xml:space="preserve">The eosinophil count in Mason's sample is also high. Eosinophilia often accompanies allergic responses and parasitic infections. Given the negative results for common parasites in routine stool examinations previously conducted on Mason, the eosinophilia supports the hypothesis of an atopic or allergic etiology.</w:t>
      </w:r>
    </w:p>
    <w:p>
      <w:pPr>
        <w:pStyle w:val="BodyText"/>
      </w:pPr>
      <w:r>
        <w:t xml:space="preserve">Furthermore, Mason’s Vitamin D levels are slightly below the optimal range despite living in a tropical nation like Singapore. While one might expect higher synthesis due to abundant sunlight, factors such as indoor lifestyle habits and sunscreen usage common in modern Singaporean families may contribute to this mild deficiency. This observation is critical for holistic care planning for Mason.</w:t>
      </w:r>
    </w:p>
    <w:bookmarkEnd w:id="24"/>
    <w:bookmarkStart w:id="25" w:name="Xc36db64397258feff84284baa970590cf9394d5"/>
    <w:p>
      <w:pPr>
        <w:pStyle w:val="Heading2"/>
      </w:pPr>
      <w:r>
        <w:t xml:space="preserve">Environmental Correlation: The Case of Mason in Singapore</w:t>
      </w:r>
    </w:p>
    <w:p>
      <w:pPr>
        <w:pStyle w:val="FirstParagraph"/>
      </w:pPr>
      <w:r>
        <w:t xml:space="preserve">The laboratory report highlights the importance of geographic specificity. For a patient named Mason living in Singapore, environmental triggers differ significantly from those in temperate regions. The high humidity levels inherent to the Singapore climate create ideal breeding conditions for dust mites, which are a primary driver of atopic dermatitis and allergic rhinitis in children like Mason.</w:t>
      </w:r>
    </w:p>
    <w:p>
      <w:pPr>
        <w:pStyle w:val="BodyText"/>
      </w:pPr>
      <w:r>
        <w:t xml:space="preserve">Additionally, seasonal haze events affecting air quality in Southeast Asia can exacerbate respiratory symptoms. While current CRP levels indicate no active systemic inflammation or acute infection, the baseline eosinophil elevation suggests that Mason’s respiratory mucosa is primed for inflammatory responses when exposed to particulate matter or high pollen counts.</w:t>
      </w:r>
    </w:p>
    <w:bookmarkEnd w:id="25"/>
    <w:bookmarkStart w:id="26" w:name="conclusions-and-recommendations"/>
    <w:p>
      <w:pPr>
        <w:pStyle w:val="Heading2"/>
      </w:pPr>
      <w:r>
        <w:t xml:space="preserve">Conclusions and Recommendations</w:t>
      </w:r>
    </w:p>
    <w:p>
      <w:pPr>
        <w:pStyle w:val="FirstParagraph"/>
      </w:pPr>
      <w:r>
        <w:t xml:space="preserve">Based on the laboratory analysis, it is concluded that Mason suffers from moderate allergic sensitization predominantly driven by indoor allergens common in Singapore households. The elevated IgE and eosinophils confirm an active immune response to these local antigens.</w:t>
      </w:r>
    </w:p>
    <w:p>
      <w:pPr>
        <w:numPr>
          <w:ilvl w:val="0"/>
          <w:numId w:val="1002"/>
        </w:numPr>
        <w:pStyle w:val="Compact"/>
      </w:pPr>
      <w:r>
        <w:t xml:space="preserve">Allergen Avoidance: Mason’s living environment should be optimized to reduce dust mite exposure. Recommendations include using allergen-proof bedding covers, regular high-temperature washing of linens, and maintaining indoor humidity below 50% through air conditioning, which is standard practice in Singapore homes.</w:t>
      </w:r>
    </w:p>
    <w:p>
      <w:pPr>
        <w:numPr>
          <w:ilvl w:val="0"/>
          <w:numId w:val="1002"/>
        </w:numPr>
        <w:pStyle w:val="Compact"/>
      </w:pPr>
      <w:r>
        <w:rPr>
          <w:bCs/>
          <w:b/>
        </w:rPr>
        <w:t xml:space="preserve">Vitamin D Supplementation:</w:t>
      </w:r>
      <w:r>
        <w:t xml:space="preserve">Mason should consider a Vitamin D supplement to bring levels into the optimal range, balancing sun exposure with protective measures.</w:t>
      </w:r>
    </w:p>
    <w:p>
      <w:pPr>
        <w:numPr>
          <w:ilvl w:val="0"/>
          <w:numId w:val="1002"/>
        </w:numPr>
        <w:pStyle w:val="Compact"/>
      </w:pPr>
      <w:r>
        <w:t xml:space="preserve">Pharmacological Management: Consultation with an allergist in Singapore for potential antihistamine therapy or nasal corticosteroids if symptoms of rhinitis persist.</w:t>
      </w:r>
    </w:p>
    <w:p>
      <w:pPr>
        <w:pStyle w:val="FirstParagraph"/>
      </w:pPr>
      <w:r>
        <w:t xml:space="preserve">This laboratory report serves as a vital tool in understanding the specific health dynamics affecting Mason. By aligning medical interventions with the local context of Singapore, we aim to improve Mason's quality of life and long-term health outcomes. Further follow-up testing is recommended in six months to monitor changes in IgE levels and efficacy of environmental controls.</w:t>
      </w:r>
    </w:p>
    <w:p>
      <w:pPr>
        <w:pStyle w:val="BodyText"/>
      </w:pPr>
      <w:r>
        <w:rPr>
          <w:bCs/>
          <w:b/>
        </w:rPr>
        <w:t xml:space="preserve">Lab Director Signature:</w:t>
      </w:r>
      <w:r>
        <w:br/>
      </w:r>
      <w:r>
        <w:t xml:space="preserve">Dr. A. Tan, MD</w:t>
      </w:r>
      <w:r>
        <w:br/>
      </w:r>
      <w:r>
        <w:rPr>
          <w:iCs/>
          <w:i/>
        </w:rPr>
        <w:t xml:space="preserve">Department of Clinical Immunology &amp; Allergy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 Analysis in Singapore</dc:title>
  <dc:creator/>
  <dc:language>en</dc:language>
  <cp:keywords/>
  <dcterms:created xsi:type="dcterms:W3CDTF">2026-07-29T07:02:46Z</dcterms:created>
  <dcterms:modified xsi:type="dcterms:W3CDTF">2026-07-29T07:02:46Z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