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Advanced</w:t>
      </w:r>
      <w:r>
        <w:t xml:space="preserve"> </w:t>
      </w:r>
      <w:r>
        <w:t xml:space="preserve">Systems</w:t>
      </w:r>
      <w:r>
        <w:t xml:space="preserve"> </w:t>
      </w:r>
      <w:r>
        <w:t xml:space="preserve">in</w:t>
      </w:r>
      <w:r>
        <w:t xml:space="preserve"> </w:t>
      </w:r>
      <w:r>
        <w:t xml:space="preserve">Amsterdam</w:t>
      </w:r>
    </w:p>
    <w:bookmarkStart w:id="20" w:name="Xed7b823dbe29820442835cfe1d102e4bd594877"/>
    <w:p>
      <w:pPr>
        <w:pStyle w:val="Heading1"/>
      </w:pPr>
      <w:r>
        <w:t xml:space="preserve">Laboratory Report: Mechanical Engineering Analysis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Netherlands Amsterdam, Delta Lab Facility</w:t>
      </w:r>
    </w:p>
    <w:p>
      <w:pPr>
        <w:pStyle w:val="BodyText"/>
      </w:pPr>
      <w:r>
        <w:rPr>
          <w:bCs/>
          <w:b/>
        </w:rPr>
        <w:t xml:space="preserve">Degree of Difficulty:</w:t>
      </w:r>
    </w:p>
    <w:bookmarkEnd w:id="20"/>
    <w:bookmarkStart w:id="21" w:name="executive-summary"/>
    <w:p>
      <w:pPr>
        <w:pStyle w:val="Heading2"/>
      </w:pPr>
      <w:r>
        <w:t xml:space="preserve">1. Executive Summary and Contextual Framework</w:t>
      </w:r>
    </w:p>
    <w:p>
      <w:pPr>
        <w:pStyle w:val="FirstParagraph"/>
      </w:pPr>
      <w:r>
        <w:t xml:space="preserve">This laboratory report serves as a comprehensive documentation of the mechanical engineering tests conducted within the dynamic industrial landscape of the Netherlands Amsterdam region. As a global hub for sustainable innovation and hydraulic engineering, the specific geographic context of Netherlands Amsterdam provides unique challenges and opportunities for mechanical systems analysis. The primary objective of this study was to evaluate the thermal efficiency and structural integrity of a new generation heat exchanger designed specifically for urban heating networks common in dense metropolitan areas like those found in the capital city.</w:t>
      </w:r>
    </w:p>
    <w:p>
      <w:pPr>
        <w:pStyle w:val="BodyText"/>
      </w:pPr>
      <w:r>
        <w:t xml:space="preserve">The integration of a Mechanical Engineer into this workflow was critical, as their expertise bridges the gap between theoretical thermodynamics and practical application. The findings indicate that while initial prototypes met standard ISO requirements, localized stress tests revealed anomalies under high-pressure cycling conditions typical of Amsterdam’s historic infrastructure retrofitting projects. This document details the methodology, data analysis, and recommendations proposed by the lead Mechanical Engineer to ensure safety and efficiency in future deployments.</w:t>
      </w:r>
    </w:p>
    <w:bookmarkEnd w:id="21"/>
    <w:bookmarkStart w:id="22" w:name="introduction"/>
    <w:p>
      <w:pPr>
        <w:pStyle w:val="Heading2"/>
      </w:pPr>
      <w:r>
        <w:t xml:space="preserve">2. Introduction: The Role of Mechanical Engineering in Urban Sustainability</w:t>
      </w:r>
    </w:p>
    <w:p>
      <w:pPr>
        <w:pStyle w:val="FirstParagraph"/>
      </w:pPr>
      <w:r>
        <w:t xml:space="preserve">The engineering sector in the Netherlands Amsterdam is currently undergoing a significant transformation driven by the national energy transition goals. Traditional mechanical systems are being replaced or upgraded to accommodate renewable energy sources and district heating networks. In this context, the role of a Mechanical Engineer extends beyond mere design; it encompasses lifecycle assessment, material selection for corrosive environments, and compliance with strict Dutch safety regulations.</w:t>
      </w:r>
    </w:p>
    <w:p>
      <w:pPr>
        <w:pStyle w:val="BodyText"/>
      </w:pPr>
      <w:r>
        <w:t xml:space="preserve">This lab report focuses on a specific case study involving the retrofitting of heat exchangers in older buildings within the Netherlands Amsterdam district. The objective was to determine if existing mechanical interfaces could support higher thermal loads without compromising structural integrity. The importance of precise Mechanical Engineering cannot be overstated here, as failures in these systems can lead to significant energy loss and potential safety hazards in densely populated urban centers.</w:t>
      </w:r>
    </w:p>
    <w:bookmarkEnd w:id="22"/>
    <w:bookmarkStart w:id="26" w:name="methodology"/>
    <w:p>
      <w:pPr>
        <w:pStyle w:val="Heading2"/>
      </w:pPr>
      <w:r>
        <w:t xml:space="preserve">3. Methodology and Experimental Setup</w:t>
      </w:r>
    </w:p>
    <w:p>
      <w:pPr>
        <w:pStyle w:val="FirstParagraph"/>
      </w:pPr>
      <w:r>
        <w:t xml:space="preserve">The experimental setup was designed to simulate real-world operating conditions found in the Netherlands Amsterdam utility grid. The following steps were undertaken by the mechanical engineering team:</w:t>
      </w:r>
    </w:p>
    <w:bookmarkStart w:id="23" w:name="material-selection-and-preparation"/>
    <w:p>
      <w:pPr>
        <w:pStyle w:val="Heading3"/>
      </w:pPr>
      <w:r>
        <w:t xml:space="preserve">3.1 Material Selection and Preparation</w:t>
      </w:r>
    </w:p>
    <w:p>
      <w:pPr>
        <w:pStyle w:val="FirstParagraph"/>
      </w:pPr>
      <w:r>
        <w:t xml:space="preserve">We utilized stainless steel 316L for the primary heat exchange plates due to its superior corrosion resistance, a crucial factor given the water quality standards in Netherlands Amsterdam municipal supplies. The mechanical Engineer selected this material after analyzing cost-benefit ratios regarding long-term maintenance versus initial fabrication costs.</w:t>
      </w:r>
    </w:p>
    <w:bookmarkEnd w:id="23"/>
    <w:bookmarkStart w:id="24" w:name="instrumentation"/>
    <w:p>
      <w:pPr>
        <w:pStyle w:val="Heading3"/>
      </w:pPr>
      <w:r>
        <w:t xml:space="preserve">3.2 Instrumentation</w:t>
      </w:r>
    </w:p>
    <w:p>
      <w:pPr>
        <w:pStyle w:val="FirstParagraph"/>
      </w:pPr>
      <w:r>
        <w:t xml:space="preserve">To capture accurate data, we installed:</w:t>
      </w:r>
    </w:p>
    <w:p>
      <w:pPr>
        <w:numPr>
          <w:ilvl w:val="0"/>
          <w:numId w:val="1001"/>
        </w:numPr>
        <w:pStyle w:val="Compact"/>
      </w:pPr>
      <w:r>
        <w:t xml:space="preserve">Type K thermocouples at inlet and outlet points for temperature differential calculations.</w:t>
      </w:r>
    </w:p>
    <w:p>
      <w:pPr>
        <w:numPr>
          <w:ilvl w:val="0"/>
          <w:numId w:val="1001"/>
        </w:numPr>
        <w:pStyle w:val="Compact"/>
      </w:pPr>
      <w:r>
        <w:t xml:space="preserve">Piezoelectric pressure transducers rated up to 10 bar to monitor internal stress variations.</w:t>
      </w:r>
    </w:p>
    <w:p>
      <w:pPr>
        <w:numPr>
          <w:ilvl w:val="0"/>
          <w:numId w:val="1001"/>
        </w:numPr>
        <w:pStyle w:val="Compact"/>
      </w:pPr>
      <w:r>
        <w:t xml:space="preserve">Laser Doppler vibrometers to detect micro-vibrations indicating potential mechanical fatigue or flow-induced resonance.</w:t>
      </w:r>
    </w:p>
    <w:bookmarkEnd w:id="24"/>
    <w:bookmarkStart w:id="25" w:name="testing-protocol"/>
    <w:p>
      <w:pPr>
        <w:pStyle w:val="Heading3"/>
      </w:pPr>
      <w:r>
        <w:t xml:space="preserve">3.3 Testing Protocol</w:t>
      </w:r>
    </w:p>
    <w:p>
      <w:pPr>
        <w:pStyle w:val="FirstParagraph"/>
      </w:pPr>
      <w:r>
        <w:t xml:space="preserve">The tests were conducted in three phases: static pressure hold, thermal cycling, and dynamic load simulation. Each phase was monitored continuously to ensure that the Mechanical Engineer could adjust parameters in real-time to prevent catastrophic failure during the experiment.</w:t>
      </w:r>
    </w:p>
    <w:bookmarkEnd w:id="25"/>
    <w:bookmarkEnd w:id="26"/>
    <w:bookmarkStart w:id="27" w:name="results"/>
    <w:p>
      <w:pPr>
        <w:pStyle w:val="Heading2"/>
      </w:pPr>
      <w:r>
        <w:t xml:space="preserve">4. Results and Data Analysis</w:t>
      </w:r>
    </w:p>
    <w:p>
      <w:pPr>
        <w:pStyle w:val="FirstParagraph"/>
      </w:pPr>
      <w:r>
        <w:t xml:space="preserve">The data collected over a 72-hour continuous testing period revealed several critical insights regarding the performance of the mechanical components under stress.</w:t>
      </w:r>
    </w:p>
    <w:p>
      <w:pPr>
        <w:pStyle w:val="BodyText"/>
      </w:pPr>
      <w:r>
        <w:t xml:space="preserve">Metric</w:t>
      </w:r>
    </w:p>
    <w:bookmarkEnd w:id="27"/>
    <w:p>
      <w:pPr>
        <w:pStyle w:val="BodyText"/>
      </w:pPr>
      <w:r>
        <w:t xml:space="preserve">Inlet Conditions</w:t>
      </w:r>
    </w:p>
    <w:p>
      <w:pPr>
        <w:pStyle w:val="BodyText"/>
      </w:pPr>
      <w:r>
        <w:t xml:space="preserve">Outlet Conditions</w:t>
      </w:r>
    </w:p>
    <w:p>
      <w:pPr>
        <w:pStyle w:val="BodyText"/>
      </w:pPr>
      <w:r>
        <w:t xml:space="preserve">Difference / Efficiency</w:t>
      </w:r>
    </w:p>
    <w:p>
      <w:pPr>
        <w:pStyle w:val="BodyText"/>
      </w:pPr>
      <w:r>
        <w:t xml:space="preserve">Temperature (°C)</w:t>
      </w:r>
    </w:p>
    <w:p>
      <w:pPr>
        <w:pStyle w:val="BodyText"/>
      </w:pPr>
      <w:r>
        <w:t xml:space="preserve">85.2</w:t>
      </w:r>
    </w:p>
    <w:p>
      <w:pPr>
        <w:pStyle w:val="BodyText"/>
      </w:pPr>
      <w:r>
        <w:t xml:space="preserve">42.1</w:t>
      </w:r>
    </w:p>
    <w:p>
      <w:pPr>
        <w:pStyle w:val="BodyText"/>
      </w:pPr>
      <w:r>
        <w:t xml:space="preserve">-43.1 ΔT (High Efficiency)</w:t>
      </w:r>
    </w:p>
    <w:p>
      <w:pPr>
        <w:pStyle w:val="BodyText"/>
      </w:pPr>
      <w:r>
        <w:t xml:space="preserve">&gt;</w:t>
      </w:r>
    </w:p>
    <w:p>
      <w:pPr>
        <w:pStyle w:val="BodyText"/>
      </w:pPr>
      <w:r>
        <w:t xml:space="preserve">&gt;</w:t>
      </w:r>
    </w:p>
    <w:p>
      <w:pPr>
        <w:pStyle w:val="BodyText"/>
      </w:pPr>
      <w:r>
        <w:t xml:space="preserve">&gt;</w:t>
      </w:r>
    </w:p>
    <w:p>
      <w:pPr>
        <w:pStyle w:val="BodyText"/>
      </w:pPr>
      <w:r>
        <w:rPr>
          <w:iCs/>
          <w:i/>
        </w:rPr>
        <w:t xml:space="preserve">Corrected Table Representation:</w:t>
      </w:r>
    </w:p>
    <w:p>
      <w:pPr>
        <w:pStyle w:val="BodyText"/>
      </w:pPr>
      <w:r>
        <w:t xml:space="preserve">Metric</w:t>
      </w:r>
    </w:p>
    <w:p>
      <w:pPr>
        <w:pStyle w:val="BodyText"/>
      </w:pPr>
      <w:r>
        <w:t xml:space="preserve">Inlet Conditions</w:t>
      </w:r>
    </w:p>
    <w:p>
      <w:pPr>
        <w:pStyle w:val="BodyText"/>
      </w:pPr>
      <w:r>
        <w:t xml:space="preserve">Outlet Conditions</w:t>
      </w:r>
    </w:p>
    <w:p>
      <w:pPr>
        <w:pStyle w:val="BodyText"/>
      </w:pPr>
      <w:r>
        <w:t xml:space="preserve">Difference / Efficiency</w:t>
      </w:r>
    </w:p>
    <w:p>
      <w:pPr>
        <w:pStyle w:val="BodyText"/>
      </w:pPr>
      <w:r>
        <w:t xml:space="preserve">&gt;</w:t>
      </w:r>
    </w:p>
    <w:p>
      <w:pPr>
        <w:pStyle w:val="BodyText"/>
      </w:pPr>
      <w:r>
        <w:t xml:space="preserve">Temperature (°C)</w:t>
      </w:r>
    </w:p>
    <w:p>
      <w:pPr>
        <w:pStyle w:val="BodyText"/>
      </w:pPr>
      <w:r>
        <w:t xml:space="preserve">85.2°C</w:t>
      </w:r>
      <w:r>
        <w:br/>
      </w:r>
      <w:r>
        <w:t xml:space="preserve">42.1°C</w:t>
      </w:r>
      <w:r>
        <w:br/>
      </w:r>
      <w:r>
        <w:t xml:space="preserve">-43.1ΔT (High Efficiency)</w:t>
      </w:r>
    </w:p>
    <w:p>
      <w:pPr>
        <w:pStyle w:val="BodyText"/>
      </w:pPr>
      <w:r>
        <w:t xml:space="preserve">&gt;</w:t>
      </w:r>
    </w:p>
    <w:p>
      <w:pPr>
        <w:pStyle w:val="BodyText"/>
      </w:pPr>
      <w:r>
        <w:t xml:space="preserve">&gt;</w:t>
      </w:r>
    </w:p>
    <w:p>
      <w:pPr>
        <w:pStyle w:val="BodyText"/>
      </w:pPr>
      <w:r>
        <w:t xml:space="preserve">Metric</w:t>
      </w:r>
    </w:p>
    <w:p>
      <w:pPr>
        <w:pStyle w:val="BodyText"/>
      </w:pPr>
      <w:r>
        <w:t xml:space="preserve">Inlet Conditions</w:t>
      </w:r>
    </w:p>
    <w:p>
      <w:pPr>
        <w:pStyle w:val="BodyText"/>
      </w:pPr>
      <w:r>
        <w:t xml:space="preserve">Outlet Conditions</w:t>
      </w:r>
    </w:p>
    <w:p>
      <w:pPr>
        <w:pStyle w:val="BodyText"/>
      </w:pPr>
      <w:r>
        <w:t xml:space="preserve">&gt;</w:t>
      </w:r>
    </w:p>
    <w:p>
      <w:pPr>
        <w:pStyle w:val="BodyText"/>
      </w:pPr>
      <w:r>
        <w:t xml:space="preserve">85.2°C</w:t>
      </w:r>
      <w:r>
        <w:br/>
      </w:r>
      <w:r>
        <w:t xml:space="preserve">42.1°C</w:t>
      </w:r>
      <w:r>
        <w:br/>
      </w:r>
      <w:r>
        <w:t xml:space="preserve">-43.1ΔT (High Efficiency)</w:t>
      </w:r>
    </w:p>
    <w:p>
      <w:pPr>
        <w:pStyle w:val="BodyText"/>
      </w:pPr>
      <w:r>
        <w:t xml:space="preserve">&gt;</w:t>
      </w:r>
    </w:p>
    <w:p>
      <w:pPr>
        <w:pStyle w:val="BodyText"/>
      </w:pPr>
      <w:r>
        <w:t xml:space="preserve">&gt;</w:t>
      </w:r>
    </w:p>
    <w:p>
      <w:pPr>
        <w:pStyle w:val="BodyText"/>
      </w:pPr>
      <w:r>
        <w:t xml:space="preserve">&gt;</w:t>
      </w:r>
    </w:p>
    <w:p>
      <w:pPr>
        <w:pStyle w:val="BodyText"/>
      </w:pPr>
      <w:r>
        <w:t xml:space="preserve">Temperature Difference</w:t>
      </w:r>
    </w:p>
    <w:p>
      <w:pPr>
        <w:pStyle w:val="BodyText"/>
      </w:pPr>
      <w:r>
        <w:t xml:space="preserve">85.2°C</w:t>
      </w:r>
    </w:p>
    <w:p>
      <w:pPr>
        <w:pStyle w:val="BodyText"/>
      </w:pPr>
      <w:r>
        <w:t xml:space="preserve">42.1°C</w:t>
      </w:r>
    </w:p>
    <w:p>
      <w:pPr>
        <w:pStyle w:val="BodyText"/>
      </w:pPr>
      <w:r>
        <w:t xml:space="preserve">&gt;</w:t>
      </w:r>
    </w:p>
    <w:p>
      <w:pPr>
        <w:pStyle w:val="BodyText"/>
      </w:pPr>
      <w:r>
        <w:t xml:space="preserve">&gt;</w:t>
      </w:r>
    </w:p>
    <w:p>
      <w:pPr>
        <w:pStyle w:val="BodyText"/>
      </w:pPr>
      <w:r>
        <w:t xml:space="preserve">&gt;</w:t>
      </w:r>
    </w:p>
    <w:p>
      <w:pPr>
        <w:pStyle w:val="BodyText"/>
      </w:pPr>
      <w:r>
        <w:t xml:space="preserve">&gt;</w:t>
      </w:r>
    </w:p>
    <w:p>
      <w:pPr>
        <w:pStyle w:val="BodyText"/>
      </w:pPr>
      <w:r>
        <w:rPr>
          <w:iCs/>
          <w:i/>
        </w:rPr>
        <w:t xml:space="preserve">Note: The text flow is prioritized for readability in HTML structure.</w:t>
      </w:r>
    </w:p>
    <w:p>
      <w:pPr>
        <w:pStyle w:val="BodyText"/>
      </w:pPr>
      <w:r>
        <w:t xml:space="preserve">The thermal efficiency of the unit averaged 92.4%, which exceeds the baseline requirements for urban heating applications in Netherlands Amsterdam. However, vibration analysis showed intermittent spikes during the thermal cycling phase. These spikes correlated with specific pressure cycles, suggesting a resonance issue within the mounting brackets rather than the core heat exchanger material.</w:t>
      </w:r>
    </w:p>
    <w:p>
      <w:pPr>
        <w:pStyle w:val="BodyText"/>
      </w:pPr>
      <w:r>
        <w:t xml:space="preserve">The Mechanical Engineer identified that while the primary components were robust, secondary mechanical fixtures required reinforcement to withstand the high-frequency oscillations inherent in modern pump systems used in Amsterdam’s district heating networks.</w:t>
      </w:r>
    </w:p>
    <w:p>
      <w:pPr>
        <w:pStyle w:val="BodyText"/>
      </w:pPr>
      <w:r>
        <w:t xml:space="preserve">&gt;</w:t>
      </w:r>
    </w:p>
    <w:bookmarkStart w:id="30" w:name="discussion"/>
    <w:p>
      <w:pPr>
        <w:pStyle w:val="Heading2"/>
      </w:pPr>
      <w:r>
        <w:t xml:space="preserve">5. Discussion: Implications for Mechanical Engineering Practice</w:t>
      </w:r>
    </w:p>
    <w:p>
      <w:pPr>
        <w:pStyle w:val="FirstParagraph"/>
      </w:pPr>
      <w:r>
        <w:t xml:space="preserve">The findings from this laboratory report highlight a critical nuance in mechanical engineering: component-level success does not guarantee system-level stability. While the heat exchanger itself performed exceptionally well, the ancillary mechanical structures failed to dampen vibrations adequately under specific operational conditions.</w:t>
      </w:r>
    </w:p>
    <w:bookmarkStart w:id="28" w:name="X111cf42abe03543edcbf1f958dd5f5f99f014cd"/>
    <w:p>
      <w:pPr>
        <w:pStyle w:val="Heading3"/>
      </w:pPr>
      <w:r>
        <w:t xml:space="preserve">5.1 The Specific Challenge of Netherlands Amsterdam Infrastructure</w:t>
      </w:r>
    </w:p>
    <w:p>
      <w:pPr>
        <w:pStyle w:val="FirstParagraph"/>
      </w:pPr>
      <w:r>
        <w:t xml:space="preserve">&gt;</w:t>
      </w:r>
    </w:p>
    <w:p>
      <w:pPr>
        <w:pStyle w:val="BodyText"/>
      </w:pPr>
      <w:r>
        <w:t xml:space="preserve">The infrastructure in Netherlands Amsterdam is characterized by a mix of historic buildings and modern high-rises. Retrofitting these systems often involves working within tight spatial constraints and older piping layouts that were not designed for modern thermal dynamics. The Mechanical Engineer must therefore consider not just the performance of the device, but its mechanical integration into legacy environments.</w:t>
      </w:r>
    </w:p>
    <w:bookmarkEnd w:id="28"/>
    <w:bookmarkStart w:id="29" w:name="recommendations-for-future-prototypes"/>
    <w:p>
      <w:pPr>
        <w:pStyle w:val="Heading3"/>
      </w:pPr>
      <w:r>
        <w:t xml:space="preserve">5.2 Recommendations for Future Prototypes</w:t>
      </w:r>
    </w:p>
    <w:p>
      <w:pPr>
        <w:pStyle w:val="FirstParagraph"/>
      </w:pPr>
      <w:r>
        <w:t xml:space="preserve">&gt;</w:t>
      </w:r>
    </w:p>
    <w:p>
      <w:pPr>
        <w:numPr>
          <w:ilvl w:val="0"/>
          <w:numId w:val="1002"/>
        </w:numPr>
        <w:pStyle w:val="Compact"/>
      </w:pPr>
      <w:r>
        <w:rPr>
          <w:bCs/>
          <w:b/>
        </w:rPr>
        <w:t xml:space="preserve">Vibration Dampening:</w:t>
      </w:r>
      <w:r>
        <w:t xml:space="preserve"> </w:t>
      </w:r>
      <w:r>
        <w:t xml:space="preserve">Incorporate elastomeric mounts designed to absorb high-frequency vibrations identified during testing.</w:t>
      </w:r>
    </w:p>
    <w:p>
      <w:pPr>
        <w:numPr>
          <w:ilvl w:val="0"/>
          <w:numId w:val="1000"/>
        </w:numPr>
        <w:pStyle w:val="Compact"/>
      </w:pPr>
      <w:r>
        <w:t xml:space="preserve">&gt;</w:t>
      </w:r>
    </w:p>
    <w:p>
      <w:pPr>
        <w:numPr>
          <w:ilvl w:val="0"/>
          <w:numId w:val="1002"/>
        </w:numPr>
        <w:pStyle w:val="Compact"/>
      </w:pPr>
      <w:r>
        <w:rPr>
          <w:bCs/>
          <w:b/>
        </w:rPr>
        <w:t xml:space="preserve">Material Fatigue Analysis:</w:t>
      </w:r>
      <w:r>
        <w:t xml:space="preserve"> </w:t>
      </w:r>
      <w:r>
        <w:t xml:space="preserve">Conduct extended fatigue testing (&gt;10,000 cycles) to validate long-term durability in the humid and saline-rich air typical of Netherlands Amsterdam.</w:t>
      </w:r>
    </w:p>
    <w:p>
      <w:pPr>
        <w:numPr>
          <w:ilvl w:val="0"/>
          <w:numId w:val="1000"/>
        </w:numPr>
        <w:pStyle w:val="Compact"/>
      </w:pPr>
      <w:r>
        <w:t xml:space="preserve">&gt;</w:t>
      </w:r>
    </w:p>
    <w:p>
      <w:pPr>
        <w:numPr>
          <w:ilvl w:val="0"/>
          <w:numId w:val="1002"/>
        </w:numPr>
        <w:pStyle w:val="Compact"/>
      </w:pPr>
      <w:r>
        <w:t xml:space="preserve">Modular Design:</w:t>
      </w:r>
    </w:p>
    <w:p>
      <w:pPr>
        <w:numPr>
          <w:ilvl w:val="0"/>
          <w:numId w:val="1000"/>
        </w:numPr>
        <w:pStyle w:val="Compact"/>
      </w:pPr>
      <w:r>
        <w:t xml:space="preserve">&gt;</w:t>
      </w:r>
    </w:p>
    <w:p>
      <w:pPr>
        <w:numPr>
          <w:ilvl w:val="0"/>
          <w:numId w:val="1002"/>
        </w:numPr>
        <w:pStyle w:val="Compact"/>
      </w:pPr>
      <w:r>
        <w:rPr>
          <w:bCs/>
          <w:b/>
        </w:rPr>
        <w:t xml:space="preserve">Collaborative Review:</w:t>
      </w:r>
      <w:r>
        <w:t xml:space="preserve"> </w:t>
      </w:r>
      <w:r>
        <w:t xml:space="preserve">Establish a feedback loop with installation teams to ensure that mechanical engineering designs account for practical maintenance accessibility in confined spaces.</w:t>
      </w:r>
    </w:p>
    <w:p>
      <w:pPr>
        <w:numPr>
          <w:ilvl w:val="0"/>
          <w:numId w:val="1000"/>
        </w:numPr>
        <w:pStyle w:val="Compact"/>
      </w:pPr>
      <w:r>
        <w:t xml:space="preserve">&gt;</w:t>
      </w:r>
    </w:p>
    <w:p>
      <w:pPr>
        <w:pStyle w:val="FirstParagraph"/>
      </w:pPr>
      <w:r>
        <w:t xml:space="preserve">&gt;</w:t>
      </w:r>
    </w:p>
    <w:bookmarkEnd w:id="29"/>
    <w:bookmarkEnd w:id="30"/>
    <w:p>
      <w:pPr>
        <w:pStyle w:val="BodyText"/>
      </w:pPr>
      <w:r>
        <w:t xml:space="preserve">&gt;</w:t>
      </w:r>
    </w:p>
    <w:bookmarkStart w:id="31" w:name="conclusion"/>
    <w:p>
      <w:pPr>
        <w:pStyle w:val="Heading2"/>
      </w:pPr>
      <w:r>
        <w:t xml:space="preserve">6. Conclusion</w:t>
      </w:r>
    </w:p>
    <w:p>
      <w:pPr>
        <w:pStyle w:val="FirstParagraph"/>
      </w:pPr>
      <w:r>
        <w:t xml:space="preserve">This lab report successfully demonstrates the rigorous testing process required for modern mechanical engineering projects in the Netherlands Amsterdam region. The data confirms that while the primary thermal systems are viable, significant improvements in secondary mechanical support structures are necessary to ensure long-term reliability.</w:t>
      </w:r>
    </w:p>
    <w:p>
      <w:pPr>
        <w:pStyle w:val="BodyText"/>
      </w:pPr>
      <w:r>
        <w:t xml:space="preserve">The involvement of a qualified Mechanical Engineer was pivotal in identifying these subtle but critical issues. By leveraging advanced instrumentation and rigorous analytical methods, the engineering team was able to refine the design before commercial deployment. This proactive approach aligns with the high standards of safety and sustainability expected in Netherlands Amsterdam, ensuring that mechanical innovations contribute positively to the city’s energy infrastructure.</w:t>
      </w:r>
    </w:p>
    <w:p>
      <w:pPr>
        <w:pStyle w:val="BodyText"/>
      </w:pPr>
      <w:r>
        <w:t xml:space="preserve">Future work should focus on implementing the recommended vibration dampening solutions and conducting field trials in actual Amsterdam residential complexes to validate laboratory findings under authentic operating conditions. The continuous evolution of Mechanical Engineering practices is essential for meeting the ambitious sustainability goals of the Netherlands.</w:t>
      </w:r>
    </w:p>
    <w:p>
      <w:pPr>
        <w:pStyle w:val="BodyText"/>
      </w:pPr>
      <w:r>
        <w:t xml:space="preserve">&gt;</w:t>
      </w:r>
    </w:p>
    <w:bookmarkEnd w:id="31"/>
    <w:p>
      <w:pPr>
        <w:pStyle w:val="BodyText"/>
      </w:pPr>
      <w:r>
        <w:t xml:space="preserve">&gt;</w:t>
      </w:r>
    </w:p>
    <w:bookmarkStart w:id="32" w:name="references"/>
    <w:p>
      <w:pPr>
        <w:pStyle w:val="Heading2"/>
      </w:pPr>
      <w:r>
        <w:t xml:space="preserve">7. References</w:t>
      </w:r>
    </w:p>
    <w:p>
      <w:pPr>
        <w:numPr>
          <w:ilvl w:val="0"/>
          <w:numId w:val="1003"/>
        </w:numPr>
        <w:pStyle w:val="Compact"/>
      </w:pPr>
      <w:r>
        <w:t xml:space="preserve">Dutch Safety Board (Onderzoeksraad voor Veiligheid). Guidelines for Industrial Equipment in Urban Environments.</w:t>
      </w:r>
    </w:p>
    <w:p>
      <w:pPr>
        <w:numPr>
          <w:ilvl w:val="0"/>
          <w:numId w:val="1000"/>
        </w:numPr>
        <w:pStyle w:val="Compact"/>
      </w:pPr>
      <w:r>
        <w:t xml:space="preserve">&gt;</w:t>
      </w:r>
    </w:p>
    <w:p>
      <w:pPr>
        <w:numPr>
          <w:ilvl w:val="0"/>
          <w:numId w:val="1003"/>
        </w:numPr>
        <w:pStyle w:val="Compact"/>
      </w:pPr>
      <w:r>
        <w:t xml:space="preserve">NEN-ISO 9001: Quality Management Systems requirements.</w:t>
      </w:r>
    </w:p>
    <w:p>
      <w:pPr>
        <w:numPr>
          <w:ilvl w:val="0"/>
          <w:numId w:val="1000"/>
        </w:numPr>
        <w:pStyle w:val="Compact"/>
      </w:pPr>
      <w:r>
        <w:t xml:space="preserve">&gt;</w:t>
      </w:r>
    </w:p>
    <w:p>
      <w:pPr>
        <w:numPr>
          <w:ilvl w:val="0"/>
          <w:numId w:val="1003"/>
        </w:numPr>
        <w:pStyle w:val="Compact"/>
      </w:pPr>
      <w:r>
        <w:t xml:space="preserve">Amsterdam Municipality. Energy Transition Strategy 2030-2050.</w:t>
      </w:r>
    </w:p>
    <w:p>
      <w:pPr>
        <w:numPr>
          <w:ilvl w:val="0"/>
          <w:numId w:val="1000"/>
        </w:numPr>
        <w:pStyle w:val="Compact"/>
      </w:pPr>
      <w:r>
        <w:t xml:space="preserve">&gt;</w:t>
      </w:r>
    </w:p>
    <w:p>
      <w:pPr>
        <w:pStyle w:val="FirstParagraph"/>
      </w:pPr>
      <w:r>
        <w:t xml:space="preserve">&gt;</w:t>
      </w:r>
    </w:p>
    <w:bookmarkEnd w:id="32"/>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Advanced Systems in Amsterdam</dc:title>
  <dc:creator/>
  <dc:language>en</dc:language>
  <cp:keywords/>
  <dcterms:created xsi:type="dcterms:W3CDTF">2026-07-29T07:44:08Z</dcterms:created>
  <dcterms:modified xsi:type="dcterms:W3CDTF">2026-07-29T07:44:08Z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