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w:t>
      </w:r>
      <w:r>
        <w:t xml:space="preserve"> </w:t>
      </w:r>
      <w:r>
        <w:t xml:space="preserve">Australia</w:t>
      </w:r>
      <w:r>
        <w:t xml:space="preserve"> </w:t>
      </w:r>
      <w:r>
        <w:t xml:space="preserve">Sydney</w:t>
      </w:r>
      <w:r>
        <w:t xml:space="preserve"> </w:t>
      </w:r>
      <w:r>
        <w:t xml:space="preserve">Context</w:t>
      </w:r>
    </w:p>
    <w:bookmarkStart w:id="28" w:name="X549429f04f9c0bb7ed97f96692faf2b1bad702a"/>
    <w:p>
      <w:pPr>
        <w:pStyle w:val="Heading1"/>
      </w:pPr>
      <w:r>
        <w:t xml:space="preserve">Laboratory Report and Medical Researcher Activity Assessment</w:t>
      </w:r>
    </w:p>
    <w:p>
      <w:pPr>
        <w:pStyle w:val="FirstParagraph"/>
      </w:pPr>
      <w:r>
        <w:rPr>
          <w:bCs/>
          <w:b/>
        </w:rPr>
        <w:t xml:space="preserve">Date:</w:t>
      </w:r>
      <w:r>
        <w:t xml:space="preserve"> </w:t>
      </w:r>
      <w:r>
        <w:t xml:space="preserve">October 24, 2023</w:t>
      </w:r>
    </w:p>
    <w:p>
      <w:pPr>
        <w:pStyle w:val="BodyText"/>
      </w:pPr>
      <w:r>
        <w:rPr>
          <w:bCs/>
          <w:b/>
        </w:rPr>
        <w:t xml:space="preserve">Jurisdiction:</w:t>
      </w:r>
      <w:r>
        <w:t xml:space="preserve"> </w:t>
      </w:r>
      <w:r>
        <w:t xml:space="preserve">New South Wales Health / National Health and Medical Research Council (NHMRC) Frameworks</w:t>
      </w:r>
    </w:p>
    <w:p>
      <w:pPr>
        <w:pStyle w:val="BodyText"/>
      </w:pPr>
      <w:r>
        <w:rPr>
          <w:bCs/>
          <w:b/>
        </w:rPr>
        <w:t xml:space="preserve">Location Focus:</w:t>
      </w:r>
      <w:r>
        <w:t xml:space="preserve"> </w:t>
      </w:r>
      <w:r>
        <w:t xml:space="preserve">Australia Sydney Metropolitan Region</w:t>
      </w:r>
    </w:p>
    <w:bookmarkStart w:id="20" w:name="executive-summary"/>
    <w:p>
      <w:pPr>
        <w:pStyle w:val="Heading2"/>
      </w:pPr>
      <w:r>
        <w:t xml:space="preserve">1. Executive Summary</w:t>
      </w:r>
    </w:p>
    <w:p>
      <w:pPr>
        <w:pStyle w:val="FirstParagraph"/>
      </w:pPr>
      <w:r>
        <w:t xml:space="preserve">This comprehensive Laboratory Report provides a detailed analysis of the operational frameworks, ethical compliance standards, and clinical trial methodologies employed by a designated Medical Researcher operating within the bustling biomedical hub of Australia Sydney. As one of the world's leading centers for medical innovation, this region demands rigorous adherence to national safety protocols while fostering high-impact scientific discovery. This document outlines the critical intersection between laboratory precision and public health strategy specific to this geographic locale.</w:t>
      </w:r>
    </w:p>
    <w:bookmarkEnd w:id="20"/>
    <w:bookmarkStart w:id="21" w:name="introduction-and-contextual-background"/>
    <w:p>
      <w:pPr>
        <w:pStyle w:val="Heading2"/>
      </w:pPr>
      <w:r>
        <w:t xml:space="preserve">2. Introduction and Contextual Background</w:t>
      </w:r>
    </w:p>
    <w:p>
      <w:pPr>
        <w:pStyle w:val="FirstParagraph"/>
      </w:pPr>
      <w:r>
        <w:t xml:space="preserve">The role of a Medical Researcher in the contemporary healthcare landscape is pivotal, particularly when situated within a dense urban environment like Australia Sydney. The city serves as the economic and cultural capital of New South Wales, hosting prestigious institutions such as the University of Sydney’s Faculty of Medicine and Health, alongside major hospital networks including Royal Prince Alfred Hospital (RPA) and The Children's Hospital at Westmead. Consequently, the Medical Researcher operating here does not work in isolation but within a complex ecosystem involving regulatory bodies, diverse patient populations, and international collaboration networks.</w:t>
      </w:r>
    </w:p>
    <w:p>
      <w:pPr>
        <w:pStyle w:val="BodyText"/>
      </w:pPr>
      <w:r>
        <w:t xml:space="preserve">This report aims to dissect the daily operational realities of such a researcher. It highlights how the unique demographic and infrastructural characteristics of Australia Sydney influence research design, participant recruitment, and data management. Furthermore it emphasizes that any Laboratory Report generated in this jurisdiction must satisfy both local state health regulations and federal ethical guidelines established by NHMRC.</w:t>
      </w:r>
    </w:p>
    <w:bookmarkEnd w:id="21"/>
    <w:bookmarkStart w:id="24" w:name="methodology-and-operational-frameworks"/>
    <w:p>
      <w:pPr>
        <w:pStyle w:val="Heading2"/>
      </w:pPr>
      <w:r>
        <w:t xml:space="preserve">3. Methodology and Operational Frameworks</w:t>
      </w:r>
    </w:p>
    <w:p>
      <w:pPr>
        <w:pStyle w:val="FirstParagraph"/>
      </w:pPr>
      <w:r>
        <w:t xml:space="preserve">The methodology adopted by the Medical Researcher in this study relies on a mixed-methods approach, integrating quantitative biological data with qualitative patient outcome metrics. The following protocols were strictly observed:</w:t>
      </w:r>
    </w:p>
    <w:bookmarkStart w:id="22" w:name="ethical-compliance-in-australia-sydney"/>
    <w:p>
      <w:pPr>
        <w:pStyle w:val="Heading3"/>
      </w:pPr>
      <w:r>
        <w:t xml:space="preserve">3.1 Ethical Compliance in Australia Sydney</w:t>
      </w:r>
    </w:p>
    <w:p>
      <w:pPr>
        <w:pStyle w:val="FirstParagraph"/>
      </w:pPr>
      <w:r>
        <w:t xml:space="preserve">All procedures underwent rigorous review by the Human Research Ethics Committee (HREC). In Australia Sydney, the speed and efficiency of ethical approval are critical due to high patient volumes. The Medical Researcher ensured that all informed consent processes were culturally sensitive, accounting for the multicultural nature of Sydney’s population. This includes providing materials in multiple languages to ensure equitable access to medical research opportunities.</w:t>
      </w:r>
    </w:p>
    <w:bookmarkEnd w:id="22"/>
    <w:bookmarkStart w:id="23" w:name="laboratory-biosafety-standards"/>
    <w:p>
      <w:pPr>
        <w:pStyle w:val="Heading3"/>
      </w:pPr>
      <w:r>
        <w:t xml:space="preserve">3.2 Laboratory Biosafety Standards</w:t>
      </w:r>
    </w:p>
    <w:p>
      <w:pPr>
        <w:pStyle w:val="FirstParagraph"/>
      </w:pPr>
      <w:r>
        <w:t xml:space="preserve">Biocontainment levels were adhered to according to the Australian Laboratory Biosafety Handbook guidelines. Given the proximity of laboratories in Australia Sydney residential and commercial zones, strict containment protocols prevent any environmental contamination or risk to public safety.</w:t>
      </w:r>
    </w:p>
    <w:p>
      <w:pPr>
        <w:pStyle w:val="BodyText"/>
      </w:pPr>
      <w:r>
        <w:rPr>
          <w:bCs/>
          <w:b/>
        </w:rPr>
        <w:t xml:space="preserve">Research Phase</w:t>
      </w:r>
    </w:p>
    <w:bookmarkEnd w:id="23"/>
    <w:bookmarkEnd w:id="24"/>
    <w:p>
      <w:pPr>
        <w:pStyle w:val="BodyText"/>
      </w:pPr>
      <w:r>
        <w:rPr>
          <w:bCs/>
          <w:b/>
        </w:rPr>
        <w:t xml:space="preserve">Action Taken</w:t>
      </w:r>
    </w:p>
    <w:p>
      <w:pPr>
        <w:pStyle w:val="BodyText"/>
      </w:pPr>
      <w:r>
        <w:rPr>
          <w:bCs/>
          <w:b/>
        </w:rPr>
        <w:t xml:space="preserve">Metric for Success</w:t>
      </w:r>
    </w:p>
    <w:p>
      <w:pPr>
        <w:pStyle w:val="BodyText"/>
      </w:pPr>
      <w:r>
        <w:t xml:space="preserve">Data Collection</w:t>
      </w:r>
    </w:p>
    <w:p>
      <w:pPr>
        <w:pStyle w:val="BodyText"/>
      </w:pPr>
      <w:r>
        <w:t xml:space="preserve">Sampling from 500+ patients in Sydney metro area.</w:t>
      </w:r>
    </w:p>
    <w:p>
      <w:pPr>
        <w:pStyle w:val="BodyText"/>
      </w:pPr>
      <w:r>
        <w:t xml:space="preserve">Purity and integrity of biological samples verified via PCR.</w:t>
      </w:r>
    </w:p>
    <w:p>
      <w:pPr>
        <w:pStyle w:val="BodyText"/>
      </w:pPr>
      <w:r>
        <w:t xml:space="preserve">Data Analysis</w:t>
      </w:r>
    </w:p>
    <w:p>
      <w:pPr>
        <w:pStyle w:val="BodyText"/>
      </w:pPr>
      <w:r>
        <w:t xml:space="preserve">&gt;/span&gt;</w:t>
      </w:r>
      <w:r>
        <w:t xml:space="preserve"> </w:t>
      </w:r>
      <w:r>
        <w:t xml:space="preserve">&lt;</w:t>
      </w:r>
    </w:p>
    <w:p>
      <w:pPr>
        <w:pStyle w:val="BodyText"/>
      </w:pPr>
      <w:r>
        <w:t xml:space="preserve">Serological testing and genomic sequencing.</w:t>
      </w:r>
      <w:r>
        <w:br/>
      </w:r>
      <w:r>
        <w:t xml:space="preserve">&lt;/p&gt;</w:t>
      </w:r>
      <w:r>
        <w:br/>
      </w:r>
    </w:p>
    <w:bookmarkStart w:id="25" w:name="findings-and-data-analysis"/>
    <w:p>
      <w:pPr>
        <w:pStyle w:val="Heading3"/>
      </w:pPr>
      <w:r>
        <w:t xml:space="preserve">4. Findings and Data Analysis</w:t>
      </w:r>
    </w:p>
    <w:p>
      <w:pPr>
        <w:pStyle w:val="FirstParagraph"/>
      </w:pPr>
      <w:r>
        <w:t xml:space="preserve">The initial findings indicate a strong correlation between environmental factors specific to Australia Sydney (such as urban air quality indices) and respiratory health outcomes among participants. The Medical Researcher observed that patients residing in inner-city areas showed distinct biomarker variations compared to those in suburban regions.</w:t>
      </w:r>
    </w:p>
    <w:bookmarkEnd w:id="25"/>
    <w:bookmarkStart w:id="26" w:name="X0c6a48ea2af58bb0a85de67e447716d07bca6c6"/>
    <w:p>
      <w:pPr>
        <w:pStyle w:val="Heading3"/>
      </w:pPr>
      <w:r>
        <w:t xml:space="preserve">5. Discussion: The Role of the Medical Researcher</w:t>
      </w:r>
    </w:p>
    <w:p>
      <w:pPr>
        <w:pStyle w:val="FirstParagraph"/>
      </w:pPr>
      <w:r>
        <w:t xml:space="preserve">The data underscores the necessity for specialized knowledge within the local context. A Medical Researcher must navigate not only scientific challenges but also logistical ones, such as coordinating multi-site trials across different hospitals in Australia Sydney. The integration of real-time data sharing platforms has proven essential in maintaining laboratory efficiency.</w:t>
      </w:r>
    </w:p>
    <w:bookmarkEnd w:id="26"/>
    <w:bookmarkStart w:id="27" w:name="conclusion"/>
    <w:p>
      <w:pPr>
        <w:pStyle w:val="Heading3"/>
      </w:pPr>
      <w:r>
        <w:t xml:space="preserve">6. Conclusion</w:t>
      </w:r>
    </w:p>
    <w:p>
      <w:pPr>
        <w:pStyle w:val="FirstParagraph"/>
      </w:pPr>
      <w:r>
        <w:t xml:space="preserve">In conclusion, this Laboratory Report affirms that rigorous scientific inquiry remains the cornerstone of public health advancement in Australia Sydney. By adhering to strict ethical guidelines and utilizing advanced analytical techniques, the Medical Researcher contributes significantly to global medical knowledge while addressing local health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Analysis - Australia Sydney Context</dc:title>
  <dc:creator/>
  <dc:language>en</dc:language>
  <cp:keywords/>
  <dcterms:created xsi:type="dcterms:W3CDTF">2026-07-29T18:10:13Z</dcterms:created>
  <dcterms:modified xsi:type="dcterms:W3CDTF">2026-07-29T18:10:13Z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