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Medical</w:t>
      </w:r>
      <w:r>
        <w:t xml:space="preserve"> </w:t>
      </w:r>
      <w:r>
        <w:t xml:space="preserve">Researcher</w:t>
      </w:r>
      <w:r>
        <w:t xml:space="preserve"> </w:t>
      </w:r>
      <w:r>
        <w:t xml:space="preserve">Profile</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Belgium</w:t>
      </w:r>
      <w:r>
        <w:t xml:space="preserve"> </w:t>
      </w:r>
      <w:r>
        <w:t xml:space="preserve">Brussels</w:t>
      </w:r>
    </w:p>
    <w:bookmarkStart w:id="20" w:name="laboratory-research-report"/>
    <w:p>
      <w:pPr>
        <w:pStyle w:val="Heading1"/>
      </w:pPr>
      <w:r>
        <w:t xml:space="preserve">Laboratory Research Report</w:t>
      </w:r>
    </w:p>
    <w:p>
      <w:pPr>
        <w:pStyle w:val="FirstParagraph"/>
      </w:pPr>
      <w:r>
        <w:t xml:space="preserve">Advanced Clinical and Pharmaceutical Protocols for the Medical Researcher in Belgium Brussels</w:t>
      </w:r>
    </w:p>
    <w:p>
      <w:pPr>
        <w:pStyle w:val="BodyText"/>
      </w:pPr>
      <w:r>
        <w:rPr>
          <w:bCs/>
          <w:b/>
        </w:rPr>
        <w:t xml:space="preserve">Document Type:</w:t>
      </w:r>
      <w:r>
        <w:t xml:space="preserve"> </w:t>
      </w:r>
      <w:r>
        <w:t xml:space="preserve">Official Lab Report and Research Framework</w:t>
      </w:r>
    </w:p>
    <w:p>
      <w:pPr>
        <w:pStyle w:val="BodyText"/>
      </w:pPr>
      <w:r>
        <w:rPr>
          <w:bCs/>
          <w:b/>
        </w:rPr>
        <w:t xml:space="preserve">Jurisdiction:</w:t>
      </w:r>
      <w:r>
        <w:t xml:space="preserve"> </w:t>
      </w:r>
      <w:r>
        <w:t xml:space="preserve">Belgium Brussels Region</w:t>
      </w:r>
    </w:p>
    <w:p>
      <w:pPr>
        <w:pStyle w:val="BodyText"/>
      </w:pPr>
      <w:r>
        <w:rPr>
          <w:bCs/>
          <w:b/>
        </w:rPr>
        <w:t xml:space="preserve">Date of Issuance:</w:t>
      </w:r>
    </w:p>
    <w:bookmarkEnd w:id="20"/>
    <w:p>
      <w:pPr>
        <w:pStyle w:val="BodyText"/>
      </w:pPr>
      <w:r>
        <w:t xml:space="preserve">October 26, 2023</w:t>
      </w:r>
    </w:p>
    <w:p>
      <w:pPr>
        <w:pStyle w:val="BodyText"/>
      </w:pPr>
      <w:r>
        <w:t xml:space="preserve">(Dynamic Date Format)</w:t>
      </w:r>
    </w:p>
    <w:p>
      <w:pPr>
        <w:pStyle w:val="BodyText"/>
      </w:pPr>
      <w:r>
        <w:rPr>
          <w:bCs/>
          <w:b/>
        </w:rPr>
        <w:t xml:space="preserve">Subject:</w:t>
      </w:r>
      <w:r>
        <w:t xml:space="preserve"> </w:t>
      </w:r>
      <w:r>
        <w:t xml:space="preserve">Medical Researcher Compliance and Innovation Standards in the European Capital Hub</w:t>
      </w:r>
    </w:p>
    <w:bookmarkStart w:id="21" w:name="Xa6527263bd713bccebf69369a314e934a52c2cc"/>
    <w:p>
      <w:pPr>
        <w:pStyle w:val="Heading2"/>
      </w:pPr>
      <w:r>
        <w:t xml:space="preserve">1. Executive Summary and Scope of the Medical Researcher in Belgium Brussels</w:t>
      </w:r>
    </w:p>
    <w:p>
      <w:pPr>
        <w:pStyle w:val="FirstParagraph"/>
      </w:pPr>
      <w:r>
        <w:t xml:space="preserve">This</w:t>
      </w:r>
      <w:r>
        <w:t xml:space="preserve"> </w:t>
      </w:r>
      <w:r>
        <w:rPr>
          <w:bCs/>
          <w:b/>
        </w:rPr>
        <w:t xml:space="preserve">Lab Report</w:t>
      </w:r>
      <w:r>
        <w:t xml:space="preserve"> </w:t>
      </w:r>
      <w:r>
        <w:t xml:space="preserve">serves as a comprehensive document detailing the operational parameters, ethical guidelines, and scientific objectives required for a professional</w:t>
      </w:r>
      <w:r>
        <w:t xml:space="preserve"> </w:t>
      </w:r>
      <w:r>
        <w:rPr>
          <w:bCs/>
          <w:b/>
        </w:rPr>
        <w:t xml:space="preserve">Medical Researcher</w:t>
      </w:r>
      <w:r>
        <w:t xml:space="preserve">. The specific context of this document is anchored in</w:t>
      </w:r>
      <w:r>
        <w:t xml:space="preserve"> </w:t>
      </w:r>
      <w:r>
        <w:rPr>
          <w:bCs/>
          <w:b/>
        </w:rPr>
        <w:t xml:space="preserve">Belgium Brussels</w:t>
      </w:r>
      <w:r>
        <w:t xml:space="preserve">, the de facto capital of the European Union. This region presents unique logistical, regulatory, and collaborative opportunities that distinguish it as a premier hub for biomedical innovation.</w:t>
      </w:r>
    </w:p>
    <w:p>
      <w:pPr>
        <w:pStyle w:val="BodyText"/>
      </w:pPr>
      <w:r>
        <w:t xml:space="preserve">The primary objective of this report is to outline how a</w:t>
      </w:r>
      <w:r>
        <w:t xml:space="preserve"> </w:t>
      </w:r>
      <w:r>
        <w:rPr>
          <w:bCs/>
          <w:b/>
        </w:rPr>
        <w:t xml:space="preserve">Medical Researcher</w:t>
      </w:r>
      <w:r>
        <w:t xml:space="preserve"> </w:t>
      </w:r>
      <w:r>
        <w:t xml:space="preserve">must navigate the intricate landscape of</w:t>
      </w:r>
      <w:r>
        <w:t xml:space="preserve"> </w:t>
      </w:r>
      <w:r>
        <w:rPr>
          <w:bCs/>
          <w:b/>
        </w:rPr>
        <w:t xml:space="preserve">Belgium Brussels</w:t>
      </w:r>
      <w:r>
        <w:t xml:space="preserve">. The city acts not only as a geographic location but as a nexus for international policy, regulatory compliance (such as EMA guidelines), and cross-border clinical trials. By adhering to the standards outlined herein, researchers can ensure that their laboratory findings are not only scientifically robust but also aligned with the stringent expectations of both local Belgian authorities and EU-wide health agencies.</w:t>
      </w:r>
    </w:p>
    <w:p>
      <w:pPr>
        <w:pStyle w:val="BodyText"/>
      </w:pPr>
      <w:r>
        <w:rPr>
          <w:bCs/>
          <w:b/>
        </w:rPr>
        <w:t xml:space="preserve">Key Focus Areas:</w:t>
      </w:r>
    </w:p>
    <w:p>
      <w:pPr>
        <w:numPr>
          <w:ilvl w:val="0"/>
          <w:numId w:val="1001"/>
        </w:numPr>
        <w:pStyle w:val="Compact"/>
      </w:pPr>
      <w:r>
        <w:t xml:space="preserve">Maintaining rigorous standards in the Lab Report documentation.</w:t>
      </w:r>
    </w:p>
    <w:p>
      <w:pPr>
        <w:numPr>
          <w:ilvl w:val="0"/>
          <w:numId w:val="1001"/>
        </w:numPr>
        <w:pStyle w:val="Compact"/>
      </w:pPr>
      <w:r>
        <w:t xml:space="preserve">Adapting research methodologies for a diverse, multicultural environment typical of Brussels.</w:t>
      </w:r>
    </w:p>
    <w:p>
      <w:pPr>
        <w:numPr>
          <w:ilvl w:val="0"/>
          <w:numId w:val="1001"/>
        </w:numPr>
        <w:pStyle w:val="Compact"/>
      </w:pPr>
      <w:r>
        <w:t xml:space="preserve">Leveraging the specific regulatory framework of Belgium Brussels for faster ethical approvals.</w:t>
      </w:r>
    </w:p>
    <w:bookmarkEnd w:id="21"/>
    <w:bookmarkStart w:id="24" w:name="X2e661a0b1eea4518d3c4a10184e64034eed9bb0"/>
    <w:p>
      <w:pPr>
        <w:pStyle w:val="Heading2"/>
      </w:pPr>
      <w:r>
        <w:t xml:space="preserve">2. Regulatory and Ethical Framework for the Medical Researcher</w:t>
      </w:r>
    </w:p>
    <w:p>
      <w:pPr>
        <w:pStyle w:val="FirstParagraph"/>
      </w:pPr>
      <w:r>
        <w:t xml:space="preserve">The role of a</w:t>
      </w:r>
      <w:r>
        <w:t xml:space="preserve"> </w:t>
      </w:r>
      <w:r>
        <w:rPr>
          <w:bCs/>
          <w:b/>
        </w:rPr>
        <w:t xml:space="preserve">Medical Researcher</w:t>
      </w:r>
      <w:r>
        <w:t xml:space="preserve"> </w:t>
      </w:r>
      <w:r>
        <w:t xml:space="preserve">in</w:t>
      </w:r>
      <w:r>
        <w:t xml:space="preserve"> </w:t>
      </w:r>
      <w:r>
        <w:rPr>
          <w:bCs/>
          <w:b/>
        </w:rPr>
        <w:t xml:space="preserve">Belgium Brussels</w:t>
      </w:r>
      <w:r>
        <w:t xml:space="preserve"> </w:t>
      </w:r>
      <w:r>
        <w:t xml:space="preserve">is heavily influenced by the dual layers of governance present in this region. On one hand, there are national regulations set by the Federal Agency for Medicines and Health Products (FAMHP) in Belgium. On the other hand, researchers must account for EU-wide directives enforced from offices within Brussels itself.</w:t>
      </w:r>
    </w:p>
    <w:bookmarkStart w:id="22" w:name="ethical-review-committees"/>
    <w:p>
      <w:pPr>
        <w:pStyle w:val="Heading3"/>
      </w:pPr>
      <w:r>
        <w:t xml:space="preserve">2.1 Ethical Review Committees</w:t>
      </w:r>
    </w:p>
    <w:p>
      <w:pPr>
        <w:pStyle w:val="FirstParagraph"/>
      </w:pPr>
      <w:r>
        <w:t xml:space="preserve">In</w:t>
      </w:r>
      <w:r>
        <w:t xml:space="preserve"> </w:t>
      </w:r>
      <w:r>
        <w:rPr>
          <w:bCs/>
          <w:b/>
        </w:rPr>
        <w:t xml:space="preserve">Belgium Brussels</w:t>
      </w:r>
      <w:r>
        <w:t xml:space="preserve">, every proposed study involving human subjects or specific animal models must undergo rigorous ethical review. The</w:t>
      </w:r>
      <w:r>
        <w:t xml:space="preserve"> </w:t>
      </w:r>
      <w:r>
        <w:rPr>
          <w:bCs/>
          <w:b/>
        </w:rPr>
        <w:t xml:space="preserve">Medical Researcher</w:t>
      </w:r>
      <w:r>
        <w:t xml:space="preserve"> </w:t>
      </w:r>
      <w:r>
        <w:t xml:space="preserve">is responsible for preparing detailed submissions to the appropriate Ethical Review Committee (ERc). This process requires meticulous attention to detail in the Lab Report, particularly regarding patient consent forms, data privacy measures (GDPR compliance), and risk mitigation strategies.</w:t>
      </w:r>
    </w:p>
    <w:bookmarkEnd w:id="22"/>
    <w:bookmarkStart w:id="23" w:name="data-integrity-and-transparency"/>
    <w:p>
      <w:pPr>
        <w:pStyle w:val="Heading3"/>
      </w:pPr>
      <w:r>
        <w:t xml:space="preserve">2.2 Data Integrity and Transparency</w:t>
      </w:r>
    </w:p>
    <w:p>
      <w:pPr>
        <w:pStyle w:val="FirstParagraph"/>
      </w:pPr>
      <w:r>
        <w:t xml:space="preserve">The integrity of the</w:t>
      </w:r>
      <w:r>
        <w:t xml:space="preserve"> </w:t>
      </w:r>
      <w:r>
        <w:rPr>
          <w:bCs/>
          <w:b/>
        </w:rPr>
        <w:t xml:space="preserve">Lab Report</w:t>
      </w:r>
      <w:r>
        <w:t xml:space="preserve"> </w:t>
      </w:r>
      <w:r>
        <w:t xml:space="preserve">is paramount. In the highly competitive environment of</w:t>
      </w:r>
      <w:r>
        <w:t xml:space="preserve"> </w:t>
      </w:r>
      <w:r>
        <w:rPr>
          <w:bCs/>
          <w:b/>
        </w:rPr>
        <w:t xml:space="preserve">Belgium Brussels</w:t>
      </w:r>
      <w:r>
        <w:t xml:space="preserve">, where many pharmaceutical giants have their headquarters, data transparency is not just a moral imperative but a regulatory requirement. The</w:t>
      </w:r>
    </w:p>
    <w:p>
      <w:pPr>
        <w:pStyle w:val="BodyText"/>
      </w:pPr>
      <w:r>
        <w:t xml:space="preserve">Medical Researcher must ensure that all raw data associated with the Lab Report is stored securely and is retrievable for audit purposes by local Belgian authorities.</w:t>
      </w:r>
    </w:p>
    <w:bookmarkEnd w:id="23"/>
    <w:bookmarkEnd w:id="24"/>
    <w:bookmarkStart w:id="25" w:name="operational-structure-of-the-laboratory"/>
    <w:p>
      <w:pPr>
        <w:pStyle w:val="Heading2"/>
      </w:pPr>
      <w:r>
        <w:t xml:space="preserve">3. Operational Structure of the Laboratory</w:t>
      </w:r>
    </w:p>
    <w:p>
      <w:pPr>
        <w:pStyle w:val="FirstParagraph"/>
      </w:pPr>
      <w:r>
        <w:t xml:space="preserve">The physical and operational setup of a laboratory in</w:t>
      </w:r>
      <w:r>
        <w:t xml:space="preserve"> </w:t>
      </w:r>
      <w:r>
        <w:rPr>
          <w:bCs/>
          <w:b/>
        </w:rPr>
        <w:t xml:space="preserve">Belgium Brussels</w:t>
      </w:r>
      <w:r>
        <w:t xml:space="preserve"> </w:t>
      </w:r>
      <w:r>
        <w:t xml:space="preserve">differs slightly from other regions due to the density of urban infrastructure and the prevalence of multi-institutional collaborations. The</w:t>
      </w:r>
    </w:p>
    <w:p>
      <w:pPr>
        <w:pStyle w:val="BodyText"/>
      </w:pPr>
      <w:r>
        <w:t xml:space="preserve">Medical Researcher must coordinate with facilities such as UZ Brussels (Saint-Pieter) or academic institutions like Université Libre de Bruxelles (ULB).</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Component</w:t>
            </w:r>
          </w:p>
        </w:tc>
        <w:tc>
          <w:tcPr/>
          <w:p>
            <w:pPr>
              <w:pStyle w:val="Compact"/>
              <w:jc w:val="left"/>
            </w:pPr>
            <w:r>
              <w:t xml:space="preserve">Requirement for Medical Researcher in Belgium Brussels</w:t>
            </w:r>
          </w:p>
        </w:tc>
      </w:tr>
      <w:tr>
        <w:tc>
          <w:tcPr/>
          <w:p>
            <w:pPr>
              <w:pStyle w:val="Compact"/>
              <w:jc w:val="left"/>
            </w:pPr>
            <w:r>
              <w:t xml:space="preserve">Safety Protocols</w:t>
            </w:r>
          </w:p>
        </w:tc>
        <w:tc>
          <w:tcPr/>
          <w:p>
            <w:pPr>
              <w:pStyle w:val="Compact"/>
              <w:jc w:val="left"/>
            </w:pPr>
            <w:r>
              <w:t xml:space="preserve">Strict adherence to OSHA-equivalent Belgian safety standards, including bilingual labeling (French/Dutch) in the Lab Report instructions.</w:t>
            </w:r>
          </w:p>
        </w:tc>
      </w:tr>
      <w:tr>
        <w:tc>
          <w:tcPr/>
          <w:p>
            <w:pPr>
              <w:pStyle w:val="Compact"/>
              <w:jc w:val="left"/>
            </w:pPr>
            <w:r>
              <w:t xml:space="preserve">Collaboration</w:t>
            </w:r>
          </w:p>
        </w:tc>
        <w:tc>
          <w:tcPr/>
          <w:p>
            <w:pPr>
              <w:pStyle w:val="Compact"/>
              <w:jc w:val="left"/>
            </w:pPr>
            <w:r>
              <w:t xml:space="preserve">Integration with EU-funded consortia centered in Brussels to enhance research scope.</w:t>
            </w:r>
          </w:p>
        </w:tc>
      </w:tr>
      <w:tr>
        <w:tc>
          <w:tcPr/>
          <w:p>
            <w:pPr>
              <w:pStyle w:val="Compact"/>
              <w:jc w:val="left"/>
            </w:pPr>
            <w:r>
              <w:t xml:space="preserve">Documentation</w:t>
            </w:r>
          </w:p>
        </w:tc>
        <w:tc>
          <w:tcPr/>
          <w:p>
            <w:pPr>
              <w:pStyle w:val="Compact"/>
              <w:jc w:val="left"/>
            </w:pPr>
            <w:r>
              <w:t xml:space="preserve">Lab Report must be filed in both English and the local language equivalents depending on the funding body.</w:t>
            </w:r>
          </w:p>
        </w:tc>
      </w:tr>
      <w:tr>
        <w:tc>
          <w:tcPr/>
          <w:p>
            <w:pPr>
              <w:pStyle w:val="Compact"/>
              <w:jc w:val="left"/>
            </w:pPr>
            <w:r>
              <w:t xml:space="preserve">Waste Management</w:t>
            </w:r>
          </w:p>
        </w:tc>
        <w:tc>
          <w:tcPr/>
          <w:p>
            <w:pPr>
              <w:pStyle w:val="Compact"/>
              <w:jc w:val="left"/>
            </w:pPr>
            <w:r>
              <w:t xml:space="preserve">Compliance with Brussels Environment regulations regarding biomedical waste disposal.</w:t>
            </w:r>
          </w:p>
        </w:tc>
      </w:tr>
    </w:tbl>
    <w:bookmarkEnd w:id="25"/>
    <w:bookmarkStart w:id="26" w:name="the-crucial-role-of-the-lab-report"/>
    <w:p>
      <w:pPr>
        <w:pStyle w:val="Heading2"/>
      </w:pPr>
      <w:r>
        <w:t xml:space="preserve">4. The Crucial Role of the Lab Report</w:t>
      </w:r>
    </w:p>
    <w:p>
      <w:pPr>
        <w:pStyle w:val="FirstParagraph"/>
      </w:pPr>
      <w:r>
        <w:t xml:space="preserve">The</w:t>
      </w:r>
      <w:r>
        <w:t xml:space="preserve"> </w:t>
      </w:r>
      <w:r>
        <w:rPr>
          <w:bCs/>
          <w:b/>
        </w:rPr>
        <w:t xml:space="preserve">Lab Report</w:t>
      </w:r>
      <w:r>
        <w:t xml:space="preserve"> </w:t>
      </w:r>
      <w:r>
        <w:t xml:space="preserve">is not merely a summary of findings; it is the cornerstone of scientific communication in the medical field. For a</w:t>
      </w:r>
    </w:p>
    <w:p>
      <w:pPr>
        <w:pStyle w:val="BodyText"/>
      </w:pPr>
      <w:r>
        <w:t xml:space="preserve">Medical Researcher operating in</w:t>
      </w:r>
      <w:r>
        <w:t xml:space="preserve"> </w:t>
      </w:r>
      <w:r>
        <w:rPr>
          <w:bCs/>
          <w:b/>
        </w:rPr>
        <w:t xml:space="preserve">Belgium Brussels</w:t>
      </w:r>
      <w:r>
        <w:t xml:space="preserve">, this document must possess several distinct characteristics:</w:t>
      </w:r>
    </w:p>
    <w:p>
      <w:pPr>
        <w:numPr>
          <w:ilvl w:val="0"/>
          <w:numId w:val="1002"/>
        </w:numPr>
        <w:pStyle w:val="Compact"/>
      </w:pPr>
      <w:r>
        <w:rPr>
          <w:bCs/>
          <w:b/>
        </w:rPr>
        <w:t xml:space="preserve">Precision and Clarity:</w:t>
      </w:r>
      <w:r>
        <w:t xml:space="preserve"> </w:t>
      </w:r>
      <w:r>
        <w:t xml:space="preserve">The language used must be unambiguous. Given that Brussels is a multilingual hub, the English terminology must be standardized to avoid misinterpretation by international collaborators.</w:t>
      </w:r>
    </w:p>
    <w:p>
      <w:pPr>
        <w:numPr>
          <w:ilvl w:val="0"/>
          <w:numId w:val="1002"/>
        </w:numPr>
        <w:pStyle w:val="Compact"/>
      </w:pPr>
      <w:r>
        <w:rPr>
          <w:bCs/>
          <w:b/>
        </w:rPr>
        <w:t xml:space="preserve">Data Visualization:</w:t>
      </w:r>
      <w:r>
        <w:t xml:space="preserve"> </w:t>
      </w:r>
      <w:r>
        <w:t xml:space="preserve">Graphs, charts, and statistical analyses presented in the Lab Report must adhere to high visual standards. In</w:t>
      </w:r>
    </w:p>
    <w:p>
      <w:pPr>
        <w:numPr>
          <w:ilvl w:val="0"/>
          <w:numId w:val="1000"/>
        </w:numPr>
        <w:pStyle w:val="Compact"/>
      </w:pPr>
      <w:r>
        <w:t xml:space="preserve">Belgium Brussels, where presentations are often made before diverse stakeholders including EU policy-makers, clarity is key.</w:t>
      </w:r>
    </w:p>
    <w:p>
      <w:pPr>
        <w:numPr>
          <w:ilvl w:val="0"/>
          <w:numId w:val="1002"/>
        </w:numPr>
        <w:pStyle w:val="Compact"/>
      </w:pPr>
      <w:r>
        <w:rPr>
          <w:bCs/>
          <w:b/>
        </w:rPr>
        <w:t xml:space="preserve">Reproducibility:</w:t>
      </w:r>
      <w:r>
        <w:t xml:space="preserve"> </w:t>
      </w:r>
      <w:r>
        <w:t xml:space="preserve">The methodology section of the Lab Report must be detailed enough to allow other researchers in Europe to replicate the study. This is a critical requirement for grants funded by Brussels-based agencies like Horizon Europe.</w:t>
      </w:r>
    </w:p>
    <w:p>
      <w:pPr>
        <w:numPr>
          <w:ilvl w:val="0"/>
          <w:numId w:val="1002"/>
        </w:numPr>
        <w:pStyle w:val="Compact"/>
      </w:pPr>
      <w:r>
        <w:rPr>
          <w:bCs/>
          <w:b/>
        </w:rPr>
        <w:t xml:space="preserve">Ethical Disclosure:</w:t>
      </w:r>
      <w:r>
        <w:t xml:space="preserve"> </w:t>
      </w:r>
      <w:r>
        <w:t xml:space="preserve">Any conflicts of interest or ethical considerations must be explicitly stated in the Lab Report. This transparency builds trust with the local community and regulatory bodies in Belgium.</w:t>
      </w:r>
    </w:p>
    <w:bookmarkEnd w:id="26"/>
    <w:bookmarkStart w:id="27" w:name="Xe4097083f897d86fc5ae39364e8a6566ea94b9c"/>
    <w:p>
      <w:pPr>
        <w:pStyle w:val="Heading2"/>
      </w:pPr>
      <w:r>
        <w:t xml:space="preserve">5. Strategic Advantages of Conducting Research in Belgium Brussels</w:t>
      </w:r>
    </w:p>
    <w:p>
      <w:pPr>
        <w:pStyle w:val="FirstParagraph"/>
      </w:pPr>
      <w:r>
        <w:t xml:space="preserve">The decision to operate as a</w:t>
      </w:r>
    </w:p>
    <w:p>
      <w:pPr>
        <w:pStyle w:val="BodyText"/>
      </w:pPr>
      <w:r>
        <w:t xml:space="preserve">Medical Researcher in</w:t>
      </w:r>
      <w:r>
        <w:t xml:space="preserve"> </w:t>
      </w:r>
      <w:r>
        <w:rPr>
          <w:bCs/>
          <w:b/>
        </w:rPr>
        <w:t xml:space="preserve">Belgium Brussels</w:t>
      </w:r>
    </w:p>
    <w:p>
      <w:pPr>
        <w:pStyle w:val="BodyText"/>
      </w:pPr>
      <w:r>
        <w:t xml:space="preserve">offers unparalleled advantages. The city hosts the European Medicines Agency (EMA) and numerous pharmaceutical corporations, creating an ecosystem ripe for innovation.</w:t>
      </w:r>
    </w:p>
    <w:p>
      <w:pPr>
        <w:pStyle w:val="BodyText"/>
      </w:pPr>
      <w:r>
        <w:t xml:space="preserve">Furthermore, the</w:t>
      </w:r>
    </w:p>
    <w:p>
      <w:pPr>
        <w:pStyle w:val="BodyText"/>
      </w:pPr>
      <w:r>
        <w:t xml:space="preserve">Lab Report generated by researchers in this region benefits from early exposure to regulatory feedback loops. The proximity to decision-makers means that insights gained from the Lab Report can potentially influence health policy across the entire continent.</w:t>
      </w:r>
    </w:p>
    <w:p>
      <w:pPr>
        <w:pStyle w:val="BodyText"/>
      </w:pPr>
      <w:r>
        <w:t xml:space="preserve">Additionally,</w:t>
      </w:r>
    </w:p>
    <w:p>
      <w:pPr>
        <w:pStyle w:val="BodyText"/>
      </w:pPr>
      <w:r>
        <w:t xml:space="preserve">Belgium Brussels is known for its high-quality medical infrastructure. Access to top-tier hospitals and research institutes allows the</w:t>
      </w:r>
    </w:p>
    <w:p>
      <w:pPr>
        <w:pStyle w:val="BodyText"/>
      </w:pPr>
      <w:r>
        <w:t xml:space="preserve">Medical Researcher to conduct multi-center trials with greater ease than in many other locations.</w:t>
      </w:r>
    </w:p>
    <w:bookmarkEnd w:id="27"/>
    <w:bookmarkStart w:id="28" w:name="conclusion-and-future-directions"/>
    <w:p>
      <w:pPr>
        <w:pStyle w:val="Heading2"/>
      </w:pPr>
      <w:r>
        <w:t xml:space="preserve">6. Conclusion and Future Directions</w:t>
      </w:r>
    </w:p>
    <w:p>
      <w:pPr>
        <w:pStyle w:val="FirstParagraph"/>
      </w:pPr>
      <w:r>
        <w:t xml:space="preserve">In conclusion, this Lab Report underscores the critical importance of adhering to strict scientific and ethical standards for any</w:t>
      </w:r>
    </w:p>
    <w:p>
      <w:pPr>
        <w:pStyle w:val="BodyText"/>
      </w:pPr>
      <w:r>
        <w:t xml:space="preserve">Medical Researcher based in</w:t>
      </w:r>
    </w:p>
    <w:p>
      <w:pPr>
        <w:pStyle w:val="BodyText"/>
      </w:pPr>
      <w:r>
        <w:t xml:space="preserve">Belgium Brussels. The intersection of local Belgian regulations and EU-wide frameworks requires a nuanced approach to documentation, particularly in the preparation of the Lab Report.</w:t>
      </w:r>
    </w:p>
    <w:p>
      <w:pPr>
        <w:pStyle w:val="BodyText"/>
      </w:pPr>
      <w:r>
        <w:t xml:space="preserve">The unique position of</w:t>
      </w:r>
    </w:p>
    <w:p>
      <w:pPr>
        <w:pStyle w:val="BodyText"/>
      </w:pPr>
      <w:r>
        <w:t xml:space="preserve">Belgium Brussels as a global health hub provides both challenges and opportunities. By maintaining rigorous documentation standards and fostering international collaboration, the</w:t>
      </w:r>
    </w:p>
    <w:p>
      <w:pPr>
        <w:pStyle w:val="BodyText"/>
      </w:pPr>
      <w:r>
        <w:t xml:space="preserve">Medical Researcher can contribute significantly to advancements in medical science. This Lab Report serves as a testament to that commitment, ensuring that all future endeavors are grounded in evidence-based practice and regulatory compliance.</w:t>
      </w:r>
    </w:p>
    <w:p>
      <w:pPr>
        <w:pStyle w:val="BodyText"/>
      </w:pPr>
      <w:r>
        <w:rPr>
          <w:iCs/>
          <w:i/>
        </w:rPr>
        <w:t xml:space="preserve">End of Document - Medical Researcher Lab Report - Belgium Brussels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Medical Researcher Profile and Operational Framework in Belgium Brussels</dc:title>
  <dc:creator/>
  <dc:language>en</dc:language>
  <cp:keywords/>
  <dcterms:created xsi:type="dcterms:W3CDTF">2026-07-29T15:14:42Z</dcterms:created>
  <dcterms:modified xsi:type="dcterms:W3CDTF">2026-07-29T15:14:42Z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