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in</w:t>
      </w:r>
      <w:r>
        <w:t xml:space="preserve"> </w:t>
      </w:r>
      <w:r>
        <w:t xml:space="preserve">Canada</w:t>
      </w:r>
      <w:r>
        <w:t xml:space="preserve"> </w:t>
      </w:r>
      <w:r>
        <w:t xml:space="preserve">Toronto</w:t>
      </w:r>
    </w:p>
    <w:bookmarkStart w:id="20" w:name="Xb2e820e61fbb71b3cb41c4986ba720b5cb493db"/>
    <w:p>
      <w:pPr>
        <w:pStyle w:val="Heading1"/>
      </w:pPr>
      <w:r>
        <w:t xml:space="preserve">Laboratory Report on Medical Researcher Protocols and Impact</w:t>
      </w:r>
    </w:p>
    <w:p>
      <w:pPr>
        <w:pStyle w:val="FirstParagraph"/>
      </w:pPr>
      <w:r>
        <w:rPr>
          <w:bCs/>
          <w:b/>
        </w:rPr>
        <w:t xml:space="preserve">Jurisdiction:</w:t>
      </w:r>
      <w:r>
        <w:t xml:space="preserve"> </w:t>
      </w:r>
      <w:r>
        <w:t xml:space="preserve">Canada Toronto</w:t>
      </w:r>
      <w:r>
        <w:br/>
      </w:r>
      <w:r>
        <w:rPr>
          <w:bCs/>
          <w:b/>
        </w:rPr>
        <w:t xml:space="preserve">Date of Issue:</w:t>
      </w:r>
      <w:r>
        <w:t xml:space="preserve"> October 24, 2023</w:t>
      </w:r>
      <w:r>
        <w:br/>
      </w:r>
      <w:r>
        <w:rPr>
          <w:bCs/>
          <w:b/>
        </w:rPr>
        <w:t xml:space="preserve">Status:</w:t>
      </w:r>
      <w:r>
        <w:t xml:space="preserve"> Final Review Approved</w:t>
      </w:r>
    </w:p>
    <w:bookmarkEnd w:id="20"/>
    <w:bookmarkStart w:id="21" w:name="i.-executive-summary"/>
    <w:p>
      <w:pPr>
        <w:pStyle w:val="Heading2"/>
      </w:pPr>
      <w:r>
        <w:t xml:space="preserve">I. Executive Summary</w:t>
      </w:r>
    </w:p>
    <w:p>
      <w:pPr>
        <w:pStyle w:val="FirstParagraph"/>
      </w:pPr>
      <w:r>
        <w:t xml:space="preserve">This comprehensive laboratory report outlines the strategic framework, operational methodologies, and ethical compliance standards required for a designated Medical Researcher operating within the distinct regulatory landscape of Canada Toronto. As a pivotal hub for biomedical innovation in North America, Toronto’s research ecosystem demands rigorous adherence to both federal guidelines set by Health Canada and provincial regulations specific to Ontario. This document serves as an authoritative guide detailing how a</w:t>
      </w:r>
      <w:r>
        <w:t xml:space="preserve"> </w:t>
      </w:r>
      <w:r>
        <w:rPr>
          <w:bCs/>
          <w:b/>
        </w:rPr>
        <w:t xml:space="preserve">Medical Researcher</w:t>
      </w:r>
      <w:r>
        <w:t xml:space="preserve"> </w:t>
      </w:r>
      <w:r>
        <w:t xml:space="preserve">must navigate the complex intersection of scientific inquiry, patient safety, and public health policy within the</w:t>
      </w:r>
      <w:r>
        <w:t xml:space="preserve"> </w:t>
      </w:r>
      <w:r>
        <w:rPr>
          <w:bCs/>
          <w:b/>
        </w:rPr>
        <w:t xml:space="preserve">Canada Toronto</w:t>
      </w:r>
      <w:r>
        <w:t xml:space="preserve"> </w:t>
      </w:r>
      <w:r>
        <w:t xml:space="preserve">metropolitan area. The findings herein emphasize that successful research is not merely about data acquisition but involves a holistic integration of ethical stewardship, interdisciplinary collaboration, and strict compliance with local institutional review boards.</w:t>
      </w:r>
    </w:p>
    <w:bookmarkEnd w:id="21"/>
    <w:bookmarkStart w:id="22" w:name="ii.-introduction-and-scope"/>
    <w:p>
      <w:pPr>
        <w:pStyle w:val="Heading2"/>
      </w:pPr>
      <w:r>
        <w:t xml:space="preserve">II. Introduction and Scope</w:t>
      </w:r>
    </w:p>
    <w:p>
      <w:pPr>
        <w:pStyle w:val="FirstParagraph"/>
      </w:pPr>
      <w:r>
        <w:t xml:space="preserve">The role of the modern</w:t>
      </w:r>
      <w:r>
        <w:t xml:space="preserve"> </w:t>
      </w:r>
      <w:r>
        <w:rPr>
          <w:bCs/>
          <w:b/>
        </w:rPr>
        <w:t xml:space="preserve">Medical Researcher</w:t>
      </w:r>
    </w:p>
    <w:p>
      <w:pPr>
        <w:pStyle w:val="BodyText"/>
      </w:pPr>
      <w:r>
        <w:t xml:space="preserve">The scope of this analysis covers three primary domains: regulatory compliance with Health Canada’s Therapeutic Products Directorate, ethical considerations mandated by Ontario’s Research Ethics Boards (REBs), and the logistical challenges of conducting research in a multi-ethnic urban environment. It is imperative that every</w:t>
      </w:r>
      <w:r>
        <w:t xml:space="preserve"> </w:t>
      </w:r>
      <w:r>
        <w:rPr>
          <w:bCs/>
          <w:b/>
        </w:rPr>
        <w:t xml:space="preserve">Medical Researcher</w:t>
      </w:r>
      <w:r>
        <w:t xml:space="preserve"> </w:t>
      </w:r>
      <w:r>
        <w:t xml:space="preserve">understands that their work contributes to the broader healthcare infrastructure of</w:t>
      </w:r>
      <w:r>
        <w:t xml:space="preserve"> </w:t>
      </w:r>
      <w:r>
        <w:rPr>
          <w:bCs/>
          <w:b/>
        </w:rPr>
        <w:t xml:space="preserve">Canada Toronto</w:t>
      </w:r>
      <w:r>
        <w:t xml:space="preserve">. Therefore, transparency, reproducibility, and ethical integrity are not optional extras but foundational pillars of this laboratory report’s recommendations.</w:t>
      </w:r>
    </w:p>
    <w:bookmarkEnd w:id="22"/>
    <w:bookmarkStart w:id="25" w:name="Xad557e3051e64aab5ce9d9b5637955a8d401b2f"/>
    <w:p>
      <w:pPr>
        <w:pStyle w:val="Heading2"/>
      </w:pPr>
      <w:r>
        <w:t xml:space="preserve">III. Regulatory Framework in Canada Toronto</w:t>
      </w:r>
    </w:p>
    <w:p>
      <w:pPr>
        <w:pStyle w:val="FirstParagraph"/>
      </w:pPr>
      <w:r>
        <w:t xml:space="preserve">The regulatory environment in Canada is stringent, designed to ensure patient safety and data integrity. For a</w:t>
      </w:r>
      <w:r>
        <w:t xml:space="preserve"> </w:t>
      </w:r>
      <w:r>
        <w:rPr>
          <w:bCs/>
          <w:b/>
        </w:rPr>
        <w:t xml:space="preserve">Medical Researcher</w:t>
      </w:r>
      <w:r>
        <w:t xml:space="preserve">, understanding the dual-layered governance of health regulation is critical. At the federal level, Health Canada oversees drug trials and medical device evaluations. In Toronto, researchers must submit Investigational Drug Submission (IDS) applications well in advance of trial commencement.</w:t>
      </w:r>
    </w:p>
    <w:bookmarkStart w:id="23" w:name="iii.1.-clinical-trial-notifications"/>
    <w:p>
      <w:pPr>
        <w:pStyle w:val="Heading3"/>
      </w:pPr>
      <w:r>
        <w:t xml:space="preserve">III.1. Clinical Trial Notifications</w:t>
      </w:r>
    </w:p>
    <w:p>
      <w:pPr>
        <w:pStyle w:val="FirstParagraph"/>
      </w:pPr>
      <w:r>
        <w:t xml:space="preserve">In contrast to previous systems, the current Canadian Clinical Trials Information System (CCTIS) requires a notification-based approach. A</w:t>
      </w:r>
      <w:r>
        <w:t xml:space="preserve"> </w:t>
      </w:r>
      <w:r>
        <w:rPr>
          <w:bCs/>
          <w:b/>
        </w:rPr>
        <w:t xml:space="preserve">Medical Researcher</w:t>
      </w:r>
      <w:r>
        <w:t xml:space="preserve"> </w:t>
      </w:r>
      <w:r>
        <w:t xml:space="preserve">must submit detailed protocols through this portal before any patient recruitment can begin in Toronto. This ensures that Health Canada is aware of all trials taking place within its jurisdiction, facilitating national safety monitoring.</w:t>
      </w:r>
    </w:p>
    <w:bookmarkEnd w:id="23"/>
    <w:bookmarkStart w:id="24" w:name="iii.2.-ontario-provincial-oversight"/>
    <w:p>
      <w:pPr>
        <w:pStyle w:val="Heading3"/>
      </w:pPr>
      <w:r>
        <w:t xml:space="preserve">III.2. Ontario Provincial Oversight</w:t>
      </w:r>
    </w:p>
    <w:p>
      <w:pPr>
        <w:pStyle w:val="FirstParagraph"/>
      </w:pPr>
      <w:r>
        <w:t xml:space="preserve">Beyond federal requirements, the Ontario Ministry of Health imposes additional standards for data privacy and patient consent under the Personal Health Information Protection Act (PHIPA). A</w:t>
      </w:r>
      <w:r>
        <w:t xml:space="preserve"> </w:t>
      </w:r>
      <w:r>
        <w:rPr>
          <w:bCs/>
          <w:b/>
        </w:rPr>
        <w:t xml:space="preserve">Medical Researcher</w:t>
      </w:r>
      <w:r>
        <w:t xml:space="preserve"> </w:t>
      </w:r>
      <w:r>
        <w:t xml:space="preserve">operating in Canada Toronto must ensure that all patient data is anonymized or de-identified according to these provincial statutes. Failure to comply with PHIPA can result in severe penalties and the immediate cessation of research activities within</w:t>
      </w:r>
      <w:r>
        <w:t xml:space="preserve"> </w:t>
      </w:r>
      <w:r>
        <w:rPr>
          <w:bCs/>
          <w:b/>
        </w:rPr>
        <w:t xml:space="preserve">Canada Toronto</w:t>
      </w:r>
      <w:r>
        <w:t xml:space="preserve">.</w:t>
      </w:r>
    </w:p>
    <w:bookmarkEnd w:id="24"/>
    <w:bookmarkEnd w:id="25"/>
    <w:bookmarkStart w:id="28" w:name="Xbaef90760f324b90324d56b6fff894f9a674085"/>
    <w:p>
      <w:pPr>
        <w:pStyle w:val="Heading2"/>
      </w:pPr>
      <w:r>
        <w:t xml:space="preserve">IV. Ethical Considerations and Institutional Review</w:t>
      </w:r>
    </w:p>
    <w:p>
      <w:pPr>
        <w:pStyle w:val="FirstParagraph"/>
      </w:pPr>
      <w:r>
        <w:t xml:space="preserve">Ethics form the core of any legitimate laboratory report. In Canada, the Tri-Council Policy Statement: Ethical Conduct for Research Involving Humans (TCPS 2) provides the national standard for ethical research. However, local implementation in Toronto often exceeds these minimums due to the high concentration of academic medical centers.</w:t>
      </w:r>
    </w:p>
    <w:bookmarkStart w:id="26" w:name="X0e8e95dc5fa8a6597e40337ab0c866ac31f40c8"/>
    <w:p>
      <w:pPr>
        <w:pStyle w:val="Heading3"/>
      </w:pPr>
      <w:r>
        <w:t xml:space="preserve">IV.1. The Role of Research Ethics Boards (REBs)</w:t>
      </w:r>
    </w:p>
    <w:p>
      <w:pPr>
        <w:pStyle w:val="FirstParagraph"/>
      </w:pPr>
      <w:r>
        <w:t xml:space="preserve">No study can proceed in Canada Toronto without approval from a recognized Research Ethics Board. For independent</w:t>
      </w:r>
      <w:r>
        <w:t xml:space="preserve"> </w:t>
      </w:r>
      <w:r>
        <w:rPr>
          <w:bCs/>
          <w:b/>
        </w:rPr>
        <w:t xml:space="preserve">Medical Researcher</w:t>
      </w:r>
      <w:r>
        <w:t xml:space="preserve">s, this often involves partnering with an existing institution to access their REB or seeking independent REB status. The review process evaluates the risk-to-benefit ratio of the proposed study, the adequacy of informed consent forms, and the protection of vulnerable populations.</w:t>
      </w:r>
    </w:p>
    <w:bookmarkEnd w:id="26"/>
    <w:bookmarkStart w:id="27" w:name="X453a906511672d6a68918fdb64ec863381aaaba"/>
    <w:p>
      <w:pPr>
        <w:pStyle w:val="Heading3"/>
      </w:pPr>
      <w:r>
        <w:t xml:space="preserve">IV.2. Informed Consent in a Diverse Population</w:t>
      </w:r>
    </w:p>
    <w:p>
      <w:pPr>
        <w:pStyle w:val="FirstParagraph"/>
      </w:pPr>
      <w:r>
        <w:t xml:space="preserve">Toronto is one of the most multicultural cities in the world. A significant challenge for a</w:t>
      </w:r>
      <w:r>
        <w:t xml:space="preserve"> </w:t>
      </w:r>
      <w:r>
        <w:rPr>
          <w:bCs/>
          <w:b/>
        </w:rPr>
        <w:t xml:space="preserve">Medical Researcher</w:t>
      </w:r>
    </w:p>
    <w:bookmarkEnd w:id="27"/>
    <w:bookmarkEnd w:id="28"/>
    <w:bookmarkStart w:id="31" w:name="Xbf60b83578fae15d22e2560fc06be1ce8819c0b"/>
    <w:p>
      <w:pPr>
        <w:pStyle w:val="Heading2"/>
      </w:pPr>
      <w:r>
        <w:t xml:space="preserve">V. Methodological Rigor and Data Integrity</w:t>
      </w:r>
    </w:p>
    <w:p>
      <w:pPr>
        <w:pStyle w:val="FirstParagraph"/>
      </w:pPr>
      <w:r>
        <w:t xml:space="preserve">The credibility of a laboratory report depends entirely on the quality of the underlying research. In Canada Toronto, researchers are expected to adhere to Good Clinical Practice (GCP) guidelines. This section outlines best practices for data management.</w:t>
      </w:r>
    </w:p>
    <w:bookmarkStart w:id="29" w:name="v.1.-data-management-plans"/>
    <w:p>
      <w:pPr>
        <w:pStyle w:val="Heading3"/>
      </w:pPr>
      <w:r>
        <w:t xml:space="preserve">V.1. Data Management Plans</w:t>
      </w:r>
    </w:p>
    <w:p>
      <w:pPr>
        <w:pStyle w:val="FirstParagraph"/>
      </w:pPr>
      <w:r>
        <w:t xml:space="preserve">A robust Data Management Plan (DMP) is essential for any</w:t>
      </w:r>
      <w:r>
        <w:t xml:space="preserve"> </w:t>
      </w:r>
      <w:r>
        <w:rPr>
          <w:bCs/>
          <w:b/>
        </w:rPr>
        <w:t xml:space="preserve">Medical Researcher</w:t>
      </w:r>
      <w:r>
        <w:t xml:space="preserve">. This includes protocols for raw data storage, backup procedures, and long-term archival. Given the increasing emphasis on open science in Canada Toronto’s academic community, researchers are encouraged to make de-identified datasets available to other scientists upon publication. This promotes transparency and accelerates scientific discovery.</w:t>
      </w:r>
    </w:p>
    <w:bookmarkEnd w:id="29"/>
    <w:bookmarkStart w:id="30" w:name="v.2.-statistical-analysis"/>
    <w:p>
      <w:pPr>
        <w:pStyle w:val="Heading3"/>
      </w:pPr>
      <w:r>
        <w:t xml:space="preserve">V.2. Statistical Analysis</w:t>
      </w:r>
    </w:p>
    <w:p>
      <w:pPr>
        <w:pStyle w:val="FirstParagraph"/>
      </w:pPr>
      <w:r>
        <w:t xml:space="preserve">Premature analysis or p-hacking is strictly prohibited. The laboratory report mandates that statistical analysis plans be pre-specified in the protocol before data collection begins in Toronto. This prevents bias and ensures that the results reflect true physiological or pharmacological effects rather than statistical anomalies.</w:t>
      </w:r>
    </w:p>
    <w:bookmarkEnd w:id="30"/>
    <w:bookmarkEnd w:id="31"/>
    <w:bookmarkStart w:id="32" w:name="X9bcae27b05b76daf48c6c80f9858dbf20967fbd"/>
    <w:p>
      <w:pPr>
        <w:pStyle w:val="Heading2"/>
      </w:pPr>
      <w:r>
        <w:t xml:space="preserve">VI. Community Engagement and Public Trust</w:t>
      </w:r>
    </w:p>
    <w:p>
      <w:pPr>
        <w:pStyle w:val="FirstParagraph"/>
      </w:pPr>
      <w:r>
        <w:t xml:space="preserve">In recent years, there has been a significant push in Canada Toronto toward community-based participatory research. A</w:t>
      </w:r>
      <w:r>
        <w:t xml:space="preserve"> </w:t>
      </w:r>
      <w:r>
        <w:rPr>
          <w:bCs/>
          <w:b/>
        </w:rPr>
        <w:t xml:space="preserve">Medical Researcher</w:t>
      </w:r>
    </w:p>
    <w:p>
      <w:pPr>
        <w:pStyle w:val="BodyText"/>
      </w:pPr>
      <w:r>
        <w:t xml:space="preserve">This laboratory report recommends that all major studies include a community advisory board. These boards provide feedback on the cultural sensitivity of study materials and help address community concerns before they escalate into public relations issues. Building trust is crucial for recruitment success; without the cooperation of the public in Canada Toronto, even the most scientifically sound trials may fail to enroll sufficient participants.</w:t>
      </w:r>
    </w:p>
    <w:bookmarkEnd w:id="32"/>
    <w:bookmarkStart w:id="33" w:name="vii.-conclusion-and-recommendations"/>
    <w:p>
      <w:pPr>
        <w:pStyle w:val="Heading2"/>
      </w:pPr>
      <w:r>
        <w:t xml:space="preserve">VII. Conclusion and Recommendations</w:t>
      </w:r>
    </w:p>
    <w:p>
      <w:pPr>
        <w:pStyle w:val="FirstParagraph"/>
      </w:pPr>
      <w:r>
        <w:t xml:space="preserve">In conclusion, this laboratory report establishes that conducting medical research in Canada Toronto requires a multifaceted approach that balances scientific ambition with ethical responsibility and regulatory compliance. The role of the</w:t>
      </w:r>
      <w:r>
        <w:t xml:space="preserve"> </w:t>
      </w:r>
      <w:r>
        <w:rPr>
          <w:bCs/>
          <w:b/>
        </w:rPr>
        <w:t xml:space="preserve">Medical Researcher</w:t>
      </w:r>
      <w:r>
        <w:t xml:space="preserve"> </w:t>
      </w:r>
      <w:r>
        <w:t xml:space="preserve">is evolving from a solitary investigator to a collaborative leader who must navigate complex legal frameworks and diverse social landscapes.</w:t>
      </w:r>
    </w:p>
    <w:p>
      <w:pPr>
        <w:pStyle w:val="BodyText"/>
      </w:pPr>
      <w:r>
        <w:t xml:space="preserve">We recommend that all prospective researchers familiarize themselves thoroughly with Health Canada regulations, Ontario privacy laws, and local institutional policies before initiating projects. Furthermore, we emphasize the need for continuous education on ethical practices and community engagement. By adhering to these guidelines, the medical research community in Canada Toronto can continue to lead global advancements in healthcare while maintaining the highest standards of integrity and public trust.</w:t>
      </w:r>
    </w:p>
    <w:p>
      <w:pPr>
        <w:pStyle w:val="BodyText"/>
      </w:pPr>
      <w:r>
        <w:t xml:space="preserve">The data presented in this laboratory report suggests that when a</w:t>
      </w:r>
      <w:r>
        <w:t xml:space="preserve"> </w:t>
      </w:r>
      <w:r>
        <w:rPr>
          <w:bCs/>
          <w:b/>
        </w:rPr>
        <w:t xml:space="preserve">Medical Researcher</w:t>
      </w:r>
      <w:r>
        <w:t xml:space="preserve"> </w:t>
      </w:r>
      <w:r>
        <w:t xml:space="preserve">aligns their methods with the specific needs and regulations of</w:t>
      </w:r>
      <w:r>
        <w:t xml:space="preserve"> </w:t>
      </w:r>
      <w:r>
        <w:rPr>
          <w:bCs/>
          <w:b/>
        </w:rPr>
        <w:t xml:space="preserve">Canada Toronto</w:t>
      </w:r>
      <w:r>
        <w:t xml:space="preserve">, the resulting research is not only compliant but also more impactful, equitable, and sustainable for future generations.</w:t>
      </w:r>
    </w:p>
    <w:bookmarkEnd w:id="33"/>
    <w:p>
      <w:pPr>
        <w:pStyle w:val="BodyText"/>
      </w:pPr>
      <w:r>
        <w:rPr>
          <w:bCs/>
          <w:b/>
        </w:rPr>
        <w:t xml:space="preserve">Prepared by:</w:t>
      </w:r>
      <w:r>
        <w:t xml:space="preserve"> Senior Compliance Officer</w:t>
      </w:r>
      <w:r>
        <w:br/>
      </w:r>
      <w:r>
        <w:rPr>
          <w:bCs/>
          <w:b/>
        </w:rPr>
        <w:t xml:space="preserve">Affiliation:</w:t>
      </w:r>
      <w:r>
        <w:t xml:space="preserve"> Canadian Centre for Medical Research Standards</w:t>
      </w:r>
      <w:r>
        <w:br/>
      </w:r>
      <w:r>
        <w:rPr>
          <w:bCs/>
          <w:b/>
        </w:rPr>
        <w:t xml:space="preserve">Contact:</w:t>
      </w:r>
      <w:r>
        <w:t xml:space="preserve"> compliance@ccmrs.ca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Analysis in Canada Toronto</dc:title>
  <dc:creator/>
  <dc:language>en</dc:language>
  <cp:keywords/>
  <dcterms:created xsi:type="dcterms:W3CDTF">2026-07-29T14:05:44Z</dcterms:created>
  <dcterms:modified xsi:type="dcterms:W3CDTF">2026-07-29T14:05:44Z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