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Advanced</w:t>
      </w:r>
      <w:r>
        <w:t xml:space="preserve"> </w:t>
      </w:r>
      <w:r>
        <w:t xml:space="preserve">Medical</w:t>
      </w:r>
      <w:r>
        <w:t xml:space="preserve"> </w:t>
      </w:r>
      <w:r>
        <w:t xml:space="preserve">Research</w:t>
      </w:r>
      <w:r>
        <w:t xml:space="preserve"> </w:t>
      </w:r>
      <w:r>
        <w:t xml:space="preserve">Initiatives</w:t>
      </w:r>
      <w:r>
        <w:t xml:space="preserve"> </w:t>
      </w:r>
      <w:r>
        <w:t xml:space="preserve">in</w:t>
      </w:r>
      <w:r>
        <w:t xml:space="preserve"> </w:t>
      </w:r>
      <w:r>
        <w:t xml:space="preserve">China</w:t>
      </w:r>
      <w:r>
        <w:t xml:space="preserve"> </w:t>
      </w:r>
      <w:r>
        <w:t xml:space="preserve">Guangzhou</w:t>
      </w:r>
    </w:p>
    <w:bookmarkStart w:id="33" w:name="laboratory-report"/>
    <w:p>
      <w:pPr>
        <w:pStyle w:val="Heading1"/>
      </w:pPr>
      <w:r>
        <w:t xml:space="preserve">Laboratory Report</w:t>
      </w:r>
    </w:p>
    <w:p>
      <w:pPr>
        <w:pStyle w:val="FirstParagraph"/>
      </w:pPr>
      <w:r>
        <w:rPr>
          <w:bCs/>
          <w:b/>
        </w:rPr>
        <w:t xml:space="preserve">Date:</w:t>
      </w:r>
      <w:r>
        <w:t xml:space="preserve"> </w:t>
      </w:r>
      <w:r>
        <w:t xml:space="preserve">October 24, 2023</w:t>
      </w:r>
      <w:r>
        <w:br/>
      </w:r>
      <w:r>
        <w:rPr>
          <w:bCs/>
          <w:b/>
        </w:rPr>
        <w:t xml:space="preserve">Institution:</w:t>
      </w:r>
      <w:r>
        <w:t xml:space="preserve"> </w:t>
      </w:r>
      <w:r>
        <w:t xml:space="preserve">Guangzhou Institute of Advanced Biomedical Studies</w:t>
      </w:r>
      <w:r>
        <w:br/>
      </w:r>
      <w:r>
        <w:rPr>
          <w:bCs/>
          <w:b/>
        </w:rPr>
        <w:t xml:space="preserve">Location:</w:t>
      </w:r>
      <w:r>
        <w:t xml:space="preserve"> </w:t>
      </w:r>
      <w:r>
        <w:t xml:space="preserve">China Guangzhou</w:t>
      </w:r>
      <w:r>
        <w:br/>
      </w:r>
    </w:p>
    <w:bookmarkStart w:id="20" w:name="i.-executive-summary"/>
    <w:p>
      <w:pPr>
        <w:pStyle w:val="Heading2"/>
      </w:pPr>
      <w:r>
        <w:t xml:space="preserve">I. Executive Summary</w:t>
      </w:r>
    </w:p>
    <w:p>
      <w:pPr>
        <w:pStyle w:val="FirstParagraph"/>
      </w:pPr>
      <w:r>
        <w:t xml:space="preserve">This document serves as a comprehensive Laboratory Report detailing the operational status, ethical compliance standards, and scientific outcomes of recent medical research projects conducted within the jurisdiction of China Guangzhou. As a pivotal hub for biomedical innovation in Southern China, Guangzhou has established itself as a critical node for international collaboration and local advancement in healthcare technology. This report specifically addresses the role and responsibilities of the Medical Researcher operating within this dynamic environment. It outlines the rigorous methodologies employed to ensure that all scientific inquiries adhere to both national regulatory frameworks set forth by Chinese authorities and international ethical standards expected of global medical science.</w:t>
      </w:r>
    </w:p>
    <w:p>
      <w:pPr>
        <w:pStyle w:val="BodyText"/>
      </w:pPr>
      <w:r>
        <w:t xml:space="preserve">The primary objective of this Laboratory Report is to document how the Medical Researcher navigates the complex landscape of clinical trials, data privacy, and collaborative partnerships in China Guangzhou. By examining recent case studies involving infectious disease monitoring and genomic sequencing, we aim to highlight the unique challenges and opportunities presented by operating in this major metropolitan center.</w:t>
      </w:r>
    </w:p>
    <w:bookmarkEnd w:id="20"/>
    <w:bookmarkStart w:id="21" w:name="Xce7577d32c3c41ccd0e8b06af7ec30cb370485d"/>
    <w:p>
      <w:pPr>
        <w:pStyle w:val="Heading2"/>
      </w:pPr>
      <w:r>
        <w:t xml:space="preserve">II. Introduction: The Context of Medical Research in China Guangzhou</w:t>
      </w:r>
    </w:p>
    <w:p>
      <w:pPr>
        <w:pStyle w:val="FirstParagraph"/>
      </w:pPr>
      <w:r>
        <w:t xml:space="preserve">The city of Guangzhou, historically known as Canton, has long been a gateway for trade and cultural exchange. In recent decades, it has transformed into a powerhouse for medical innovation. For the Modern Medical Researcher, the environment in China Guangzhou offers unparalleled access to diverse patient populations and state-of-the-art laboratory infrastructure. However, this setting also demands a heightened awareness of regulatory compliance and cultural sensitivity.</w:t>
      </w:r>
    </w:p>
    <w:p>
      <w:pPr>
        <w:pStyle w:val="BodyText"/>
      </w:pPr>
      <w:r>
        <w:t xml:space="preserve">This Laboratory Report is structured to reflect the specific requirements imposed by local health commissions in China Guangzhou. These regulations emphasize data security, informed consent processes that align with Chinese Civil Code provisions, and the integration of traditional medical knowledge with modern Western biomedical practices. The Medical Researcher must act not only as a scientist but also as a bridge between global scientific communities and local regulatory bodies.</w:t>
      </w:r>
    </w:p>
    <w:bookmarkEnd w:id="21"/>
    <w:bookmarkStart w:id="24" w:name="X0dbf28ed0cc2ea5ae91b4375cd39464ff011e90"/>
    <w:p>
      <w:pPr>
        <w:pStyle w:val="Heading2"/>
      </w:pPr>
      <w:r>
        <w:t xml:space="preserve">III. Methodology: Protocol Adherence by the Medical Researcher</w:t>
      </w:r>
    </w:p>
    <w:p>
      <w:pPr>
        <w:pStyle w:val="FirstParagraph"/>
      </w:pPr>
      <w:r>
        <w:t xml:space="preserve">In conducting this Laboratory Report, we analyzed data from three longitudinal studies initiated in early 2023 within partner hospitals in China Guangzhou. The methodology employed by the Medical Researcher involved strict adherence to Good Clinical Practice (GCP) guidelines, adapted to fit local legal requirements.</w:t>
      </w:r>
    </w:p>
    <w:bookmarkStart w:id="22" w:name="a.-participant-recruitment-and-consent"/>
    <w:p>
      <w:pPr>
        <w:pStyle w:val="Heading3"/>
      </w:pPr>
      <w:r>
        <w:t xml:space="preserve">A. Participant Recruitment and Consent</w:t>
      </w:r>
    </w:p>
    <w:p>
      <w:pPr>
        <w:pStyle w:val="FirstParagraph"/>
      </w:pPr>
      <w:r>
        <w:t xml:space="preserve">A critical component of the work performed by any Medical Researcher in this region is the recruitment process. In China Guangzhou, obtaining informed consent requires a nuanced approach. The Laboratory Report details how researchers utilized multi-lingual consent forms (Chinese and English) to ensure transparency. Special attention was paid to explaining the voluntary nature of participation, particularly in rural outskirts where access to healthcare information may be limited.</w:t>
      </w:r>
    </w:p>
    <w:bookmarkEnd w:id="22"/>
    <w:bookmarkStart w:id="23" w:name="b.-data-collection-and-privacy"/>
    <w:p>
      <w:pPr>
        <w:pStyle w:val="Heading3"/>
      </w:pPr>
      <w:r>
        <w:t xml:space="preserve">B. Data Collection and Privacy</w:t>
      </w:r>
    </w:p>
    <w:p>
      <w:pPr>
        <w:pStyle w:val="FirstParagraph"/>
      </w:pPr>
      <w:r>
        <w:t xml:space="preserve">Data integrity is paramount. The Laboratory Report highlights the use of encrypted servers located within mainland China to comply with the Data Security Law of the People's Republic of China. The Medical Researcher implemented rigid access controls, ensuring that only authorized personnel could view patient identifiers. This protocol was essential for maintaining trust between local communities and international research teams.</w:t>
      </w:r>
    </w:p>
    <w:bookmarkEnd w:id="23"/>
    <w:bookmarkEnd w:id="24"/>
    <w:bookmarkStart w:id="27" w:name="X17717980e10040f7a6efa6a5edfacd92e1c164f"/>
    <w:p>
      <w:pPr>
        <w:pStyle w:val="Heading2"/>
      </w:pPr>
      <w:r>
        <w:t xml:space="preserve">IV. Results: Key Findings from Recent Studies</w:t>
      </w:r>
    </w:p>
    <w:p>
      <w:pPr>
        <w:pStyle w:val="FirstParagraph"/>
      </w:pPr>
      <w:r>
        <w:t xml:space="preserve">The findings presented in this Laboratory Report demonstrate significant progress in two key areas: epidemiological surveillance and personalized medicine.</w:t>
      </w:r>
    </w:p>
    <w:bookmarkStart w:id="25" w:name="a.-epidemiological-surveillance"/>
    <w:p>
      <w:pPr>
        <w:pStyle w:val="Heading3"/>
      </w:pPr>
      <w:r>
        <w:t xml:space="preserve">A. Epidemiological Surveillance</w:t>
      </w:r>
    </w:p>
    <w:p>
      <w:pPr>
        <w:pStyle w:val="FirstParagraph"/>
      </w:pPr>
      <w:r>
        <w:t xml:space="preserve">The Medical Researcher led a team that analyzed respiratory illness trends across urban districts of China Guangzhou. The results indicated a strong correlation between air quality indices and seasonal exacerbations of asthma in pediatric patients. This data has since been shared with the local health bureau to inform public health policies.</w:t>
      </w:r>
    </w:p>
    <w:bookmarkEnd w:id="25"/>
    <w:bookmarkStart w:id="26" w:name="b.-genomic-sequencing-projects"/>
    <w:p>
      <w:pPr>
        <w:pStyle w:val="Heading3"/>
      </w:pPr>
      <w:r>
        <w:t xml:space="preserve">B. Genomic Sequencing Projects</w:t>
      </w:r>
    </w:p>
    <w:p>
      <w:pPr>
        <w:pStyle w:val="FirstParagraph"/>
      </w:pPr>
      <w:r>
        <w:t xml:space="preserve">In collaboration with biotech firms based in the Guangzhou High-Tech Zone, the Medical Researcher facilitated a genomic study focusing on rare genetic disorders prevalent in Southern China. The Laboratory Report notes that the team successfully identified three novel genetic markers associated with hereditary hemochromatosis. These findings underscore the importance of localized research, as global databases often lack sufficient diversity to identify variants specific to East Asian populations.</w:t>
      </w:r>
    </w:p>
    <w:bookmarkEnd w:id="26"/>
    <w:bookmarkEnd w:id="27"/>
    <w:bookmarkStart w:id="30" w:name="Xe31bd8136813c17d543af546ee40a537b8184ea"/>
    <w:p>
      <w:pPr>
        <w:pStyle w:val="Heading2"/>
      </w:pPr>
      <w:r>
        <w:t xml:space="preserve">V. Discussion: Challenges and Ethical Considerations</w:t>
      </w:r>
    </w:p>
    <w:p>
      <w:pPr>
        <w:pStyle w:val="FirstParagraph"/>
      </w:pPr>
      <w:r>
        <w:t xml:space="preserve">The role of the Medical Researcher in China Guangzhou is fraught with unique ethical considerations. One major challenge discussed in this Laboratory Report is the balance between rapid innovation and patient safety. The fast-paced nature of tech-driven healthcare in cities like Guangzhou can sometimes outstrip regulatory review processes.</w:t>
      </w:r>
    </w:p>
    <w:bookmarkStart w:id="28" w:name="a.-regulatory-navigation"/>
    <w:p>
      <w:pPr>
        <w:pStyle w:val="Heading3"/>
      </w:pPr>
      <w:r>
        <w:t xml:space="preserve">A. Regulatory Navigation</w:t>
      </w:r>
    </w:p>
    <w:p>
      <w:pPr>
        <w:pStyle w:val="FirstParagraph"/>
      </w:pPr>
      <w:r>
        <w:t xml:space="preserve">The Medical Researcher must maintain open lines of communication with the National Medical Products Administration (NMPA). This Laboratory Report emphasizes the necessity of early engagement with regulators to avoid delays in clinical trial approvals. The cultural emphasis on hierarchy and formal procedure in China requires that researchers exercise patience and precision in their administrative interactions.</w:t>
      </w:r>
    </w:p>
    <w:bookmarkEnd w:id="28"/>
    <w:bookmarkStart w:id="29" w:name="b.-cultural-competence"/>
    <w:p>
      <w:pPr>
        <w:pStyle w:val="Heading3"/>
      </w:pPr>
      <w:r>
        <w:t xml:space="preserve">B. Cultural Competence</w:t>
      </w:r>
    </w:p>
    <w:p>
      <w:pPr>
        <w:pStyle w:val="FirstParagraph"/>
      </w:pPr>
      <w:r>
        <w:t xml:space="preserve">Successful research is deeply rooted in cultural competence. The Laboratory Report advocates for continuous training for the Medical Researcher regarding local customs, particularly concerning end-of-life care discussions and genetic counseling. Misunderstandings in these sensitive areas can lead to severe ethical breaches and damage to the institution's reputation.</w:t>
      </w:r>
    </w:p>
    <w:bookmarkEnd w:id="29"/>
    <w:bookmarkEnd w:id="30"/>
    <w:bookmarkStart w:id="31" w:name="vi.-conclusion"/>
    <w:p>
      <w:pPr>
        <w:pStyle w:val="Heading2"/>
      </w:pPr>
      <w:r>
        <w:t xml:space="preserve">VI. Conclusion</w:t>
      </w:r>
    </w:p>
    <w:p>
      <w:pPr>
        <w:pStyle w:val="FirstParagraph"/>
      </w:pPr>
      <w:r>
        <w:t xml:space="preserve">This Laboratory Report concludes that the Medical Researcher operating in China Guangzhou plays a vital role in advancing global health while respecting local sovereignty and cultural norms. The city provides a robust platform for high-impact science, characterized by strong government support and technological infrastructure.</w:t>
      </w:r>
    </w:p>
    <w:p>
      <w:pPr>
        <w:pStyle w:val="BodyText"/>
      </w:pPr>
      <w:r>
        <w:t xml:space="preserve">To ensure continued success, future reports from the field must prioritize transparency, ethical rigor, and collaborative engagement. The Medical Researcher is not merely an observer but an active participant in shaping the future of healthcare in Southern China. By adhering to the protocols outlined herein, researchers can contribute meaningfully to scientific knowledge while fostering trust and mutual respect.</w:t>
      </w:r>
    </w:p>
    <w:p>
      <w:pPr>
        <w:pStyle w:val="BodyText"/>
      </w:pPr>
      <w:r>
        <w:t xml:space="preserve">We recommend that all institutions conducting research in China Guangzhou adopt these standardized procedures as a baseline for their own Laboratory Report templates. This will ensure consistency, enhance safety, and promote the highest standards of medical ethics in an increasingly interconnected world.</w:t>
      </w:r>
    </w:p>
    <w:bookmarkEnd w:id="31"/>
    <w:bookmarkStart w:id="32" w:name="vii.-references"/>
    <w:p>
      <w:pPr>
        <w:pStyle w:val="Heading2"/>
      </w:pPr>
      <w:r>
        <w:t xml:space="preserve">VII. References</w:t>
      </w:r>
    </w:p>
    <w:p>
      <w:pPr>
        <w:numPr>
          <w:ilvl w:val="0"/>
          <w:numId w:val="1001"/>
        </w:numPr>
        <w:pStyle w:val="Compact"/>
      </w:pPr>
      <w:r>
        <w:t xml:space="preserve">National Medical Products Administration (NMPA). Guidelines for Clinical Trial Management in China.</w:t>
      </w:r>
    </w:p>
    <w:p>
      <w:pPr>
        <w:numPr>
          <w:ilvl w:val="0"/>
          <w:numId w:val="1001"/>
        </w:numPr>
        <w:pStyle w:val="Compact"/>
      </w:pPr>
      <w:r>
        <w:t xml:space="preserve">Data Security Law of the People's Republic of China, Article 31 on Personal Information Protection.</w:t>
      </w:r>
    </w:p>
    <w:p>
      <w:pPr>
        <w:numPr>
          <w:ilvl w:val="0"/>
          <w:numId w:val="1001"/>
        </w:numPr>
        <w:pStyle w:val="Compact"/>
      </w:pPr>
      <w:r>
        <w:t xml:space="preserve">Guangzhou Health Commission Annual Report on Biomedical Innovation, 2023.</w:t>
      </w:r>
    </w:p>
    <w:p>
      <w:pPr>
        <w:numPr>
          <w:ilvl w:val="0"/>
          <w:numId w:val="1001"/>
        </w:numPr>
        <w:pStyle w:val="Compact"/>
      </w:pPr>
      <w:r>
        <w:t xml:space="preserve">Institutional Review Board (IRB) Protocols for Cross-Border Medical Research, Guangzhou Chapter.</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Advanced Medical Research Initiatives in China Guangzhou</dc:title>
  <dc:creator/>
  <dc:language>en</dc:language>
  <cp:keywords/>
  <dcterms:created xsi:type="dcterms:W3CDTF">2026-07-29T17:21:01Z</dcterms:created>
  <dcterms:modified xsi:type="dcterms:W3CDTF">2026-07-29T17:21:01Z</dcterms:modified>
</cp:coreProperties>
</file>

<file path=docProps/custom.xml><?xml version="1.0" encoding="utf-8"?>
<Properties xmlns="http://schemas.openxmlformats.org/officeDocument/2006/custom-properties" xmlns:vt="http://schemas.openxmlformats.org/officeDocument/2006/docPropsVTypes"/>
</file>