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Protocol</w:t>
      </w:r>
      <w:r>
        <w:t xml:space="preserve"> </w:t>
      </w:r>
      <w:r>
        <w:t xml:space="preserve">Analysis</w:t>
      </w:r>
    </w:p>
    <w:p>
      <w:pPr>
        <w:pStyle w:val="FirstParagraph"/>
      </w:pPr>
      <w:r>
        <w:rPr>
          <w:bCs/>
          <w:b/>
        </w:rPr>
        <w:t xml:space="preserve">Institution:</w:t>
      </w:r>
      <w:r>
        <w:t xml:space="preserve"> </w:t>
      </w:r>
      <w:r>
        <w:t xml:space="preserve">Institute of Tropical Medicine and Clinical Research</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Ethics Committee for Biomedical Research</w:t>
      </w:r>
    </w:p>
    <w:bookmarkStart w:id="25" w:name="X4df38a6dfb092bd59f44b97e7f054a2b164725f"/>
    <w:p>
      <w:pPr>
        <w:pStyle w:val="Heading1"/>
      </w:pPr>
      <w:r>
        <w:t xml:space="preserve">Laboratory Report: Epidemiological and Clinical Assessment by Medical Researcher in Colombia Bogotá</w:t>
      </w:r>
    </w:p>
    <w:bookmarkStart w:id="20" w:name="X7d3939d1cb50b011ead4b259c6cfaeceee61e46"/>
    <w:p>
      <w:pPr>
        <w:pStyle w:val="Heading2"/>
      </w:pPr>
      <w:r>
        <w:t xml:space="preserve">I. Introduction and Contextual Background</w:t>
      </w:r>
    </w:p>
    <w:p>
      <w:pPr>
        <w:pStyle w:val="FirstParagraph"/>
      </w:pPr>
      <w:r>
        <w:t xml:space="preserve">The scope of this document is to provide a comprehensive analysis of the ongoing clinical trials and epidemiological studies conducted under the supervision of a designated</w:t>
      </w:r>
      <w:r>
        <w:t xml:space="preserve"> </w:t>
      </w:r>
      <w:r>
        <w:rPr>
          <w:bCs/>
          <w:b/>
        </w:rPr>
        <w:t xml:space="preserve">Medical Researcher</w:t>
      </w:r>
      <w:r>
        <w:t xml:space="preserve">. This investigation is situated within the vibrant yet complex healthcare landscape of</w:t>
      </w:r>
      <w:r>
        <w:t xml:space="preserve"> </w:t>
      </w:r>
      <w:r>
        <w:rPr>
          <w:bCs/>
          <w:b/>
        </w:rPr>
        <w:t xml:space="preserve">Colombia Bogotá</w:t>
      </w:r>
      <w:r>
        <w:t xml:space="preserve">, a metropolis that serves as both an economic hub and a critical node for public health data in Latin America. The primary objective of this report is to evaluate the efficacy, safety profiles, and socio-economic implications of novel therapeutic interventions targeting vector-borne diseases prevalent in the Andean region.</w:t>
      </w:r>
    </w:p>
    <w:p>
      <w:pPr>
        <w:pStyle w:val="BodyText"/>
      </w:pPr>
      <w:r>
        <w:rPr>
          <w:bCs/>
          <w:b/>
        </w:rPr>
        <w:t xml:space="preserve">Colombia Bogotá</w:t>
      </w:r>
      <w:r>
        <w:t xml:space="preserve">, located high in the Andes at an elevation of approximately 2,640 meters above sea level, presents unique physiological challenges for study participants. The altitude affects oxygen saturation and metabolic rates, which must be carefully controlled variables within our laboratory protocols. Furthermore, the urban density of</w:t>
      </w:r>
      <w:r>
        <w:t xml:space="preserve"> </w:t>
      </w:r>
      <w:r>
        <w:rPr>
          <w:bCs/>
          <w:b/>
        </w:rPr>
        <w:t xml:space="preserve">Colombia Bogotá</w:t>
      </w:r>
      <w:r>
        <w:t xml:space="preserve"> </w:t>
      </w:r>
      <w:r>
        <w:t xml:space="preserve">facilitates rapid transmission dynamics for certain infectious agents while simultaneously offering robust logistical support for large-scale clinical trials. Understanding these geographic and demographic nuances is paramount to the integrity of the research being conducted by our team.</w:t>
      </w:r>
    </w:p>
    <w:bookmarkEnd w:id="20"/>
    <w:bookmarkStart w:id="21" w:name="X525244f1505912faaa5fb988be966b112ebd816"/>
    <w:p>
      <w:pPr>
        <w:pStyle w:val="Heading2"/>
      </w:pPr>
      <w:r>
        <w:t xml:space="preserve">II. Methodology and Laboratory Procedures</w:t>
      </w:r>
    </w:p>
    <w:p>
      <w:pPr>
        <w:pStyle w:val="FirstParagraph"/>
      </w:pPr>
      <w:r>
        <w:t xml:space="preserve">The methodology employed in this study adheres strictly to Good Clinical Practice (GCP) guidelines established by international standards, while also complying with local regulations set forth by the Colombian Ministry of Health. The</w:t>
      </w:r>
      <w:r>
        <w:t xml:space="preserve"> </w:t>
      </w:r>
      <w:r>
        <w:rPr>
          <w:bCs/>
          <w:b/>
        </w:rPr>
        <w:t xml:space="preserve">Medical Researcher</w:t>
      </w:r>
      <w:r>
        <w:t xml:space="preserve">, acting as the principal investigator, has implemented a randomized, double-blind placebo-controlled trial design. This rigorous approach ensures that bias is minimized and that statistical significance can be reliably achieved.</w:t>
      </w:r>
    </w:p>
    <w:p>
      <w:pPr>
        <w:pStyle w:val="BodyText"/>
      </w:pPr>
      <w:r>
        <w:t xml:space="preserve">Data collection processes involve serial blood sampling, genomic sequencing of pathogen isolates, and continuous physiological monitoring. Each sample is processed in accordance with standard operating procedures (SOPs) maintained within the central laboratory facilities located in the heart of</w:t>
      </w:r>
      <w:r>
        <w:t xml:space="preserve"> </w:t>
      </w:r>
      <w:r>
        <w:rPr>
          <w:bCs/>
          <w:b/>
        </w:rPr>
        <w:t xml:space="preserve">Colombia Bogotá</w:t>
      </w:r>
      <w:r>
        <w:t xml:space="preserve">. The laboratory infrastructure is equipped with next-generation sequencing technologies and high-performance liquid chromatography systems, allowing for precise quantification of pharmacokinetic parameters.</w:t>
      </w:r>
    </w:p>
    <w:p>
      <w:pPr>
        <w:pStyle w:val="BodyText"/>
      </w:pPr>
      <w:r>
        <w:t xml:space="preserve">The role of the</w:t>
      </w:r>
      <w:r>
        <w:t xml:space="preserve"> </w:t>
      </w:r>
      <w:r>
        <w:rPr>
          <w:bCs/>
          <w:b/>
        </w:rPr>
        <w:t xml:space="preserve">Medical Researcher</w:t>
      </w:r>
      <w:r>
        <w:t xml:space="preserve"> </w:t>
      </w:r>
      <w:r>
        <w:t xml:space="preserve">extends beyond mere oversight; it involves active engagement in protocol refinement based on real-time data analysis. Regular interdisciplinary meetings are held to discuss emerging trends, ensuring that any adverse events are reported immediately to the safety monitoring board. This proactive stance is crucial in maintaining the ethical integrity of the trial and protecting the welfare of participants residing in</w:t>
      </w:r>
      <w:r>
        <w:t xml:space="preserve"> </w:t>
      </w:r>
      <w:r>
        <w:rPr>
          <w:bCs/>
          <w:b/>
        </w:rPr>
        <w:t xml:space="preserve">Colombia Bogotá</w:t>
      </w:r>
      <w:r>
        <w:t xml:space="preserve">.</w:t>
      </w:r>
    </w:p>
    <w:bookmarkEnd w:id="21"/>
    <w:bookmarkStart w:id="22" w:name="X1ce63802e1f705feee0e11bb6822557ac79d46d"/>
    <w:p>
      <w:pPr>
        <w:pStyle w:val="Heading2"/>
      </w:pPr>
      <w:r>
        <w:t xml:space="preserve">III. Preliminary Findings and Data Analysis</w:t>
      </w:r>
    </w:p>
    <w:p>
      <w:pPr>
        <w:pStyle w:val="FirstParagraph"/>
      </w:pPr>
      <w:r>
        <w:t xml:space="preserve">Preliminary data analysis indicates a statistically significant reduction in symptom severity among participants receiving the experimental treatment compared to the control group. Specifically, markers of inflammation were reduced by an average of 45% within the first fourteen days of administration. These findings are particularly encouraging given the historical limitations of existing therapies in resource-constrained settings.</w:t>
      </w:r>
    </w:p>
    <w:p>
      <w:pPr>
        <w:pStyle w:val="BodyText"/>
      </w:pPr>
      <w:r>
        <w:t xml:space="preserve">However, it is essential to note that data variability was observed across different demographic subgroups within</w:t>
      </w:r>
      <w:r>
        <w:t xml:space="preserve"> </w:t>
      </w:r>
      <w:r>
        <w:rPr>
          <w:bCs/>
          <w:b/>
        </w:rPr>
        <w:t xml:space="preserve">Colombia Bogotá</w:t>
      </w:r>
      <w:r>
        <w:t xml:space="preserve">. Socio-economic factors, nutritional status, and pre-existing comorbidities influenced individual responses to the intervention. The</w:t>
      </w:r>
      <w:r>
        <w:t xml:space="preserve"> </w:t>
      </w:r>
      <w:r>
        <w:rPr>
          <w:bCs/>
          <w:b/>
        </w:rPr>
        <w:t xml:space="preserve">Medical Researcher</w:t>
      </w:r>
      <w:r>
        <w:t xml:space="preserve"> </w:t>
      </w:r>
      <w:r>
        <w:t xml:space="preserve">has identified a need for stratified analysis to isolate these confounding variables. Such granularity allows for more personalized medicine approaches in future iterations of the study.</w:t>
      </w:r>
    </w:p>
    <w:p>
      <w:pPr>
        <w:pStyle w:val="BodyText"/>
      </w:pPr>
      <w:r>
        <w:t xml:space="preserve">Colombia Bogotá** reveals correlations between urban pollution levels and exacerbation rates of respiratory symptoms associated with the target disease. This intersectionality highlights the importance of integrating environmental health metrics into clinical research frameworks. The laboratory is currently expanding its analytical capabilities to include air quality assessments as a secondary outcome measure.</w:t>
      </w:r>
    </w:p>
    <w:bookmarkEnd w:id="22"/>
    <w:bookmarkStart w:id="23" w:name="X0a311713c448a972d292c34a03384d680b3bd67"/>
    <w:p>
      <w:pPr>
        <w:pStyle w:val="Heading2"/>
      </w:pPr>
      <w:r>
        <w:t xml:space="preserve">IV. Ethical Considerations and Community Engagement</w:t>
      </w:r>
    </w:p>
    <w:p>
      <w:pPr>
        <w:pStyle w:val="FirstParagraph"/>
      </w:pPr>
      <w:r>
        <w:t xml:space="preserve">Ethical compliance remains a cornerstone of this project. Informed consent processes have been developed in local languages and dialects relevant to the population of</w:t>
      </w:r>
      <w:r>
        <w:t xml:space="preserve"> </w:t>
      </w:r>
      <w:r>
        <w:rPr>
          <w:bCs/>
          <w:b/>
        </w:rPr>
        <w:t xml:space="preserve">Colombia Bogotá</w:t>
      </w:r>
      <w:r>
        <w:t xml:space="preserve">** to ensure that all participants fully understand the risks and benefits associated with their involvement. The Institutional Review Board (IRB) has reviewed these documents extensively, emphasizing transparency and voluntary participation.</w:t>
      </w:r>
    </w:p>
    <w:p>
      <w:pPr>
        <w:pStyle w:val="BodyText"/>
      </w:pPr>
      <w:r>
        <w:t xml:space="preserve">The</w:t>
      </w:r>
    </w:p>
    <w:p>
      <w:pPr>
        <w:pStyle w:val="BodyText"/>
      </w:pPr>
      <w:r>
        <w:t xml:space="preserve">Medical Researcher** has also prioritized community engagement initiatives, partnering with local NGOs and community leaders to foster trust and cooperation. This collaborative approach not only enhances recruitment rates but also ensures that the research outcomes are relevant and beneficial to the communities of</w:t>
      </w:r>
      <w:r>
        <w:t xml:space="preserve"> </w:t>
      </w:r>
      <w:r>
        <w:rPr>
          <w:bCs/>
          <w:b/>
        </w:rPr>
        <w:t xml:space="preserve">Colombia Bogotá</w:t>
      </w:r>
      <w:r>
        <w:t xml:space="preserve">. By addressing public concerns through open dialogue, we mitigate skepticism often associated with external medical interventions.</w:t>
      </w:r>
    </w:p>
    <w:bookmarkEnd w:id="23"/>
    <w:bookmarkStart w:id="24" w:name="v.-conclusion-and-future-directions"/>
    <w:p>
      <w:pPr>
        <w:pStyle w:val="Heading2"/>
      </w:pPr>
      <w:r>
        <w:t xml:space="preserve">V. Conclusion and Future Directions</w:t>
      </w:r>
    </w:p>
    <w:p>
      <w:pPr>
        <w:pStyle w:val="FirstParagraph"/>
      </w:pPr>
      <w:r>
        <w:t xml:space="preserve">In conclusion, this laboratory report underscores the critical role of rigorous scientific inquiry in advancing public health outcomes in</w:t>
      </w:r>
    </w:p>
    <w:p>
      <w:pPr>
        <w:pStyle w:val="BodyText"/>
      </w:pPr>
      <w:r>
        <w:t xml:space="preserve">Colombia Bogotá**. The efforts of the lead **Medical Researcher** have laid a strong foundation for subsequent phases of this clinical trial. Preliminary results are promising, suggesting potential breakthroughs in treatment efficacy for vector-borne diseases.</w:t>
      </w:r>
    </w:p>
    <w:p>
      <w:pPr>
        <w:pStyle w:val="BodyText"/>
      </w:pPr>
      <w:r>
        <w:t xml:space="preserve">Future directions will focus on scaling up production capabilities, optimizing dosing regimens based on pharmacogenomic profiles, and extending the study duration to assess long-term safety. Continued collaboration with stakeholders in</w:t>
      </w:r>
    </w:p>
    <w:p>
      <w:pPr>
        <w:pStyle w:val="BodyText"/>
      </w:pPr>
      <w:r>
        <w:t xml:space="preserve">Colombia Bogotá** will remain essential for successful implementation and dissemination of findings. As we move forward, the commitment to excellence in laboratory practice and ethical research stands firm, driven by the dedication of our **Medical Researcher** team.</w:t>
      </w:r>
    </w:p>
    <w:p>
      <w:pPr>
        <w:pStyle w:val="BodyText"/>
      </w:pPr>
      <w:r>
        <w:rPr>
          <w:bCs/>
          <w:b/>
        </w:rPr>
        <w:t xml:space="preserve">Authorized By:</w:t>
      </w:r>
    </w:p>
    <w:p>
      <w:pPr>
        <w:pStyle w:val="BodyText"/>
      </w:pPr>
      <w:r>
        <w:br/>
      </w:r>
      <w:r>
        <w:br/>
      </w:r>
    </w:p>
    <w:p>
      <w:pPr>
        <w:pStyle w:val="BodyText"/>
      </w:pPr>
      <w:r>
        <w:t xml:space="preserve">[Signature]</w:t>
      </w:r>
    </w:p>
    <w:p>
      <w:r>
        <w:pict>
          <v:rect style="width:0;height:1.5pt" o:hralign="center" o:hrstd="t" o:hr="t"/>
        </w:pict>
      </w:r>
    </w:p>
    <w:p>
      <w:pPr>
        <w:pStyle w:val="FirstParagraph"/>
      </w:pPr>
      <w:r>
        <w:t xml:space="preserve">Dr. Elena Rodriguez, PhD</w:t>
      </w:r>
      <w:r>
        <w:br/>
      </w:r>
      <w:r>
        <w:t xml:space="preserve">**Chief Medical Researcher**</w:t>
      </w:r>
      <w:r>
        <w:br/>
      </w:r>
      <w:r>
        <w:t xml:space="preserve">Institute of Tropical Medicine and Clinical Research</w:t>
      </w:r>
      <w:r>
        <w:br/>
      </w:r>
      <w:r>
        <w:rPr>
          <w:bCs/>
          <w:b/>
        </w:rPr>
        <w:t xml:space="preserve">Bogotá, Colombia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Protocol Analysis</dc:title>
  <dc:creator/>
  <dc:language>en</dc:language>
  <cp:keywords/>
  <dcterms:created xsi:type="dcterms:W3CDTF">2026-07-29T16:28:30Z</dcterms:created>
  <dcterms:modified xsi:type="dcterms:W3CDTF">2026-07-29T16:28:30Z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