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Colombia</w:t>
      </w:r>
      <w:r>
        <w:t xml:space="preserve"> </w:t>
      </w:r>
      <w:r>
        <w:t xml:space="preserve">Medellín</w:t>
      </w:r>
    </w:p>
    <w:p>
      <w:pPr>
        <w:pStyle w:val="FirstParagraph"/>
      </w:pPr>
      <w:r>
        <w:rPr>
          <w:bCs/>
          <w:b/>
        </w:rPr>
        <w:t xml:space="preserve">Laboratory Report ID:</w:t>
      </w:r>
      <w:r>
        <w:t xml:space="preserve"> </w:t>
      </w:r>
      <w:r>
        <w:t xml:space="preserve">MED-CO-2023-MDE-884</w:t>
      </w:r>
      <w:r>
        <w:br/>
      </w:r>
      <w:r>
        <w:rPr>
          <w:bCs/>
          <w:b/>
        </w:rPr>
        <w:t xml:space="preserve">Date of Issue:</w:t>
      </w:r>
      <w:r>
        <w:t xml:space="preserve"> </w:t>
      </w:r>
      <w:r>
        <w:t xml:space="preserve">October 26, 2023</w:t>
      </w:r>
      <w:r>
        <w:br/>
      </w:r>
      <w:r>
        <w:rPr>
          <w:bCs/>
          <w:b/>
        </w:rPr>
        <w:t xml:space="preserve">Jurisdiction:</w:t>
      </w:r>
      <w:r>
        <w:t xml:space="preserve"> </w:t>
      </w:r>
      <w:r>
        <w:t xml:space="preserve">Colombia Medellín and Surrounding Regions</w:t>
      </w:r>
      <w:r>
        <w:br/>
      </w:r>
    </w:p>
    <w:p>
      <w:pPr>
        <w:pStyle w:val="BodyText"/>
      </w:pPr>
      <w:r>
        <w:t xml:space="preserve">Status:: Final Review &amp; Ethical Compliance Check</w:t>
      </w:r>
    </w:p>
    <w:bookmarkStart w:id="32" w:name="X59ded73f6689c9f530b446d8b7b5f208b6a654e"/>
    <w:p>
      <w:pPr>
        <w:pStyle w:val="Heading1"/>
      </w:pPr>
      <w:r>
        <w:t xml:space="preserve">Laboratory Report: Comprehensive Analysis of the Medical Researcher Profile in Colombia Medellín</w:t>
      </w:r>
    </w:p>
    <w:bookmarkStart w:id="20" w:name="executive-summary"/>
    <w:p>
      <w:pPr>
        <w:pStyle w:val="Heading2"/>
      </w:pPr>
      <w:r>
        <w:t xml:space="preserve">1. Executive Summary</w:t>
      </w:r>
    </w:p>
    <w:p>
      <w:pPr>
        <w:pStyle w:val="FirstParagraph"/>
      </w:pPr>
      <w:r>
        <w:t xml:space="preserve">This comprehensive Laboratory Report has been compiled to evaluate the operational, ethical, and scientific frameworks governing the role of a</w:t>
      </w:r>
      <w:r>
        <w:t xml:space="preserve"> </w:t>
      </w:r>
      <w:r>
        <w:t xml:space="preserve">Medical Researcher</w:t>
      </w:r>
      <w:r>
        <w:t xml:space="preserve"> </w:t>
      </w:r>
      <w:r>
        <w:t xml:space="preserve">within the specific socio-economic and epidemiological context of Colombia Medellín. The city of Medellín has emerged as a critical hub for biomedical innovation in Latin America, driven by strategic partnerships between public institutions like the University of Antioquia and private pharmaceutical entities. This document serves as a formal record detailing the requisite competencies, regulatory adherence, and cultural nuances that define successful medical research activities in this region. The primary objective is to ensure that any</w:t>
      </w:r>
      <w:r>
        <w:t xml:space="preserve"> </w:t>
      </w:r>
      <w:r>
        <w:t xml:space="preserve">Medical Researcher</w:t>
      </w:r>
      <w:r>
        <w:t xml:space="preserve"> </w:t>
      </w:r>
      <w:r>
        <w:t xml:space="preserve">operating within Colombia Medellín possesses the necessary technical proficiency and ethical grounding to contribute meaningfully to public health outcomes.</w:t>
      </w:r>
    </w:p>
    <w:bookmarkEnd w:id="20"/>
    <w:bookmarkStart w:id="21" w:name="introduction-and-contextual-background"/>
    <w:p>
      <w:pPr>
        <w:pStyle w:val="Heading2"/>
      </w:pPr>
      <w:r>
        <w:t xml:space="preserve">2. Introduction and Contextual Background</w:t>
      </w:r>
    </w:p>
    <w:p>
      <w:pPr>
        <w:pStyle w:val="FirstParagraph"/>
      </w:pPr>
      <w:r>
        <w:t xml:space="preserve">The landscape of medical science in South America is undergoing a significant transformation, with Medellín standing at the forefront. Historically known for its complex urban challenges, Medellín has reinvented itself through investments in science and technology infrastructure. For a</w:t>
      </w:r>
      <w:r>
        <w:t xml:space="preserve"> </w:t>
      </w:r>
      <w:r>
        <w:t xml:space="preserve">Medical Researcher</w:t>
      </w:r>
      <w:r>
        <w:t xml:space="preserve">, this city offers a unique laboratory environment characterized by high genetic diversity, distinct infectious disease profiles (such as Dengue and Zika), and emerging non-communicable disease burdens.</w:t>
      </w:r>
    </w:p>
    <w:p>
      <w:pPr>
        <w:pStyle w:val="BodyText"/>
      </w:pPr>
      <w:r>
        <w:t xml:space="preserve">The term "Laboratory Report" in this context extends beyond physical wet-lab data; it encompasses the broader institutional reporting mechanisms required by Colombian regulatory bodies such as INVIMA (Instituto Nacional de Vigilancia de Medicamentos y Alimentos). Understanding the local healthcare ecosystem is paramount. The intersection of academic rigor and community engagement defines the modern</w:t>
      </w:r>
      <w:r>
        <w:t xml:space="preserve"> </w:t>
      </w:r>
      <w:r>
        <w:t xml:space="preserve">Medical Researcher</w:t>
      </w:r>
      <w:r>
        <w:t xml:space="preserve"> </w:t>
      </w:r>
      <w:r>
        <w:t xml:space="preserve">in Colombia Medellín, requiring not only scientific expertise but also strong communicative skills to navigate bilingual (Spanish/English) documentation standards.</w:t>
      </w:r>
    </w:p>
    <w:bookmarkEnd w:id="21"/>
    <w:bookmarkStart w:id="24" w:name="X991c42d0573f9ae54563efc55ea3202d85f39ed"/>
    <w:p>
      <w:pPr>
        <w:pStyle w:val="Heading2"/>
      </w:pPr>
      <w:r>
        <w:t xml:space="preserve">3. Regulatory Framework and Ethical Compliance</w:t>
      </w:r>
    </w:p>
    <w:p>
      <w:pPr>
        <w:pStyle w:val="FirstParagraph"/>
      </w:pPr>
      <w:r>
        <w:t xml:space="preserve">A fundamental aspect of this report is the adherence to strict ethical guidelines. In Colombia Medellín, all medical research involving human subjects must comply with Law 1580 of 2012 and the resolutions issued by the Ministry of Health regarding bioethics. A</w:t>
      </w:r>
      <w:r>
        <w:t xml:space="preserve"> </w:t>
      </w:r>
      <w:r>
        <w:t xml:space="preserve">Medical Researcher</w:t>
      </w:r>
      <w:r>
        <w:t xml:space="preserve"> </w:t>
      </w:r>
      <w:r>
        <w:t xml:space="preserve">cannot operate legally or ethically without approval from an Institutional Review Board (IRB) recognized within Colombia.</w:t>
      </w:r>
    </w:p>
    <w:bookmarkStart w:id="22" w:name="informed-consent-protocols"/>
    <w:p>
      <w:pPr>
        <w:pStyle w:val="Heading3"/>
      </w:pPr>
      <w:r>
        <w:t xml:space="preserve">3.1 Informed Consent Protocols</w:t>
      </w:r>
    </w:p>
    <w:p>
      <w:pPr>
        <w:pStyle w:val="FirstParagraph"/>
      </w:pPr>
      <w:r>
        <w:t xml:space="preserve">The protocol for informed consent is particularly sensitive in this region. Researchers must ensure that participants fully understand the implications of the study, often requiring materials translated into local dialects if necessary. The role of a</w:t>
      </w:r>
      <w:r>
        <w:t xml:space="preserve"> </w:t>
      </w:r>
      <w:r>
        <w:t xml:space="preserve">Medical Researcher</w:t>
      </w:r>
      <w:r>
        <w:t xml:space="preserve"> </w:t>
      </w:r>
      <w:r>
        <w:t xml:space="preserve">involves meticulous documentation of these consent processes to protect participant rights and ensure data integrity.</w:t>
      </w:r>
    </w:p>
    <w:bookmarkEnd w:id="22"/>
    <w:bookmarkStart w:id="23" w:name="data-privacy-and-security"/>
    <w:p>
      <w:pPr>
        <w:pStyle w:val="Heading3"/>
      </w:pPr>
      <w:r>
        <w:t xml:space="preserve">3.2 Data Privacy and Security</w:t>
      </w:r>
    </w:p>
    <w:p>
      <w:pPr>
        <w:pStyle w:val="FirstParagraph"/>
      </w:pPr>
      <w:r>
        <w:t xml:space="preserve">Data protection laws in Colombia mandate rigorous security measures. A medical researcher must implement encrypted storage solutions for patient data, ensuring compliance with national standards while collaborating with international partners. Failure to adhere to these protocols constitutes a severe breach of professional conduct outlined in this Laboratory Report.</w:t>
      </w:r>
    </w:p>
    <w:bookmarkEnd w:id="23"/>
    <w:bookmarkEnd w:id="24"/>
    <w:bookmarkStart w:id="27" w:name="X2ccd2a9a5c914643dca7fd9ba0df7eae5bce26d"/>
    <w:p>
      <w:pPr>
        <w:pStyle w:val="Heading2"/>
      </w:pPr>
      <w:r>
        <w:t xml:space="preserve">4. Methodological Considerations for Colombia Medellín</w:t>
      </w:r>
    </w:p>
    <w:p>
      <w:pPr>
        <w:pStyle w:val="FirstParagraph"/>
      </w:pPr>
      <w:r>
        <w:t xml:space="preserve">The geographical and social topography of Colombia Medellín influences research methodologies. The city’s rapid urbanization has led to specific health disparities that researchers must account for in their study designs.</w:t>
      </w:r>
    </w:p>
    <w:bookmarkStart w:id="25" w:name="epidemiological-data-collection"/>
    <w:p>
      <w:pPr>
        <w:pStyle w:val="Heading3"/>
      </w:pPr>
      <w:r>
        <w:t xml:space="preserve">4.1 Epidemiological Data Collection</w:t>
      </w:r>
    </w:p>
    <w:p>
      <w:pPr>
        <w:pStyle w:val="FirstParagraph"/>
      </w:pPr>
      <w:r>
        <w:t xml:space="preserve">Data collection in this region often requires fieldwork in both urban centers and peripheral communities. A competent</w:t>
      </w:r>
      <w:r>
        <w:t xml:space="preserve"> </w:t>
      </w:r>
      <w:r>
        <w:t xml:space="preserve">Medical Researcher</w:t>
      </w:r>
      <w:r>
        <w:t xml:space="preserve"> </w:t>
      </w:r>
      <w:r>
        <w:t xml:space="preserve">must be adept at adapting survey instruments to local cultural contexts. For instance, studies on hypertension or diabetes must consider dietary habits specific to Antioquian cuisine, which may differ significantly from Western norms.</w:t>
      </w:r>
    </w:p>
    <w:bookmarkEnd w:id="25"/>
    <w:bookmarkStart w:id="26" w:name="collaboration-with-local-institutions"/>
    <w:p>
      <w:pPr>
        <w:pStyle w:val="Heading3"/>
      </w:pPr>
      <w:r>
        <w:t xml:space="preserve">4.2 Collaboration with Local Institutions</w:t>
      </w:r>
    </w:p>
    <w:p>
      <w:pPr>
        <w:pStyle w:val="FirstParagraph"/>
      </w:pPr>
      <w:r>
        <w:t xml:space="preserve">Solo research is increasingly rare in Medellín. The Laboratory Report emphasizes the importance of collaborative networks. Medical researchers are expected to work alongside local healthcare providers, including those in public hospitals such as Hospital San Vicente Fundación or Policlínico Sur. These collaborations provide access to diverse patient populations and enhance the generalizability of research findings.</w:t>
      </w:r>
    </w:p>
    <w:bookmarkEnd w:id="26"/>
    <w:bookmarkEnd w:id="27"/>
    <w:bookmarkStart w:id="28" w:name="X531f5b9a01895ffe3b8fca0e5f6a70573636e39"/>
    <w:p>
      <w:pPr>
        <w:pStyle w:val="Heading2"/>
      </w:pPr>
      <w:r>
        <w:t xml:space="preserve">5. Key Competencies Required for a Medical Researcher</w:t>
      </w:r>
    </w:p>
    <w:p>
      <w:pPr>
        <w:pStyle w:val="FirstParagraph"/>
      </w:pPr>
      <w:r>
        <w:t xml:space="preserve">To effectively function as a Medical Researcher in this environment, specific skill sets are non-negotiable:</w:t>
      </w:r>
    </w:p>
    <w:p>
      <w:pPr>
        <w:numPr>
          <w:ilvl w:val="0"/>
          <w:numId w:val="1001"/>
        </w:numPr>
        <w:pStyle w:val="Compact"/>
      </w:pPr>
      <w:r>
        <w:rPr>
          <w:bCs/>
          <w:b/>
        </w:rPr>
        <w:t xml:space="preserve">Linguistic Proficiency:</w:t>
      </w:r>
      <w:r>
        <w:t xml:space="preserve"> </w:t>
      </w:r>
      <w:r>
        <w:t xml:space="preserve">While English is the language of global science, daily operations in Colombia Medellín require fluency in Spanish. A Medical Researcher must be able to interview patients, draft reports for local ethics committees, and collaborate with Spanish-speaking colleagues.</w:t>
      </w:r>
    </w:p>
    <w:p>
      <w:pPr>
        <w:numPr>
          <w:ilvl w:val="0"/>
          <w:numId w:val="1001"/>
        </w:numPr>
        <w:pStyle w:val="Compact"/>
      </w:pPr>
      <w:r>
        <w:rPr>
          <w:bCs/>
          <w:b/>
        </w:rPr>
        <w:t xml:space="preserve">Cultural Competence:</w:t>
      </w:r>
      <w:r>
        <w:t xml:space="preserve"> </w:t>
      </w:r>
      <w:r>
        <w:t xml:space="preserve">Understanding the social determinants of health in Medellín is crucial. This includes awareness of socioeconomic disparities that affect access to healthcare and adherence to treatment protocols.</w:t>
      </w:r>
    </w:p>
    <w:p>
      <w:pPr>
        <w:numPr>
          <w:ilvl w:val="0"/>
          <w:numId w:val="1001"/>
        </w:numPr>
        <w:pStyle w:val="Compact"/>
      </w:pPr>
      <w:r>
        <w:rPr>
          <w:bCs/>
          <w:b/>
        </w:rPr>
        <w:t xml:space="preserve">Data Analysis Skills:</w:t>
      </w:r>
      <w:r>
        <w:t xml:space="preserve"> </w:t>
      </w:r>
      <w:r>
        <w:t xml:space="preserve">Proficiency in statistical software (such as R, SPSS, or SAS) is required to interpret complex datasets generated from clinical trials and observational studies.</w:t>
      </w:r>
    </w:p>
    <w:p>
      <w:pPr>
        <w:numPr>
          <w:ilvl w:val="0"/>
          <w:numId w:val="1001"/>
        </w:numPr>
        <w:pStyle w:val="Compact"/>
      </w:pPr>
      <w:r>
        <w:rPr>
          <w:bCs/>
          <w:b/>
        </w:rPr>
        <w:t xml:space="preserve">Regulatory Knowledge:</w:t>
      </w:r>
      <w:r>
        <w:t xml:space="preserve"> </w:t>
      </w:r>
      <w:r>
        <w:t xml:space="preserve">Deep understanding of INVIMA regulations ensures that drug trials and diagnostic tests are conducted within legal boundaries.</w:t>
      </w:r>
    </w:p>
    <w:bookmarkEnd w:id="28"/>
    <w:bookmarkStart w:id="29" w:name="challenges-and-mitigation-strategies"/>
    <w:p>
      <w:pPr>
        <w:pStyle w:val="Heading2"/>
      </w:pPr>
      <w:r>
        <w:t xml:space="preserve">6. Challenges and Mitigation Strategies</w:t>
      </w:r>
    </w:p>
    <w:p>
      <w:pPr>
        <w:pStyle w:val="FirstParagraph"/>
      </w:pPr>
      <w:r>
        <w:t xml:space="preserve">The path for a Medical Researcher in Colombia Medellín is not without obstacles. Infrastructure limitations in some areas can disrupt sample transport, affecting the integrity of biological specimens. Additionally, bureaucratic delays in ethical approvals can slow down research timelines.</w:t>
      </w:r>
    </w:p>
    <w:p>
      <w:pPr>
        <w:pStyle w:val="BodyText"/>
      </w:pPr>
      <w:r>
        <w:t xml:space="preserve">To mitigate these risks, this Laboratory Report recommends that researchers build robust logistical plans involving cold-chain management partners familiar with local geography. Furthermore, engaging with ethics committees early in the proposal phase can streamline approval processes. Communication transparency is key; keeping all stakeholders informed about delays helps maintain trust and project momentum.</w:t>
      </w:r>
    </w:p>
    <w:bookmarkEnd w:id="29"/>
    <w:bookmarkStart w:id="30" w:name="conclusion"/>
    <w:p>
      <w:pPr>
        <w:pStyle w:val="Heading2"/>
      </w:pPr>
      <w:r>
        <w:t xml:space="preserve">7. Conclusion</w:t>
      </w:r>
    </w:p>
    <w:p>
      <w:pPr>
        <w:pStyle w:val="FirstParagraph"/>
      </w:pPr>
      <w:r>
        <w:t xml:space="preserve">In conclusion, the role of a Medical Researcher in Colombia Medellín is multifaceted, requiring a blend of scientific excellence, ethical vigilance, and cultural sensitivity. This Laboratory Report serves as both a guide and a standard for professionals operating in this dynamic environment. The contributions made by medical researchers here have the potential to impact not only local public health but also global medical knowledge.</w:t>
      </w:r>
    </w:p>
    <w:p>
      <w:pPr>
        <w:pStyle w:val="BodyText"/>
      </w:pPr>
      <w:r>
        <w:t xml:space="preserve">We urge all prospective and current researchers to adhere strictly to the guidelines outlined herein. By doing so, they ensure that their work in Colombia Medellín is respected, reproducible, and beneficial to the communities served. The integration of international standards with local realities creates a sustainable model for medical advancement in the region.</w:t>
      </w:r>
    </w:p>
    <w:bookmarkEnd w:id="30"/>
    <w:bookmarkStart w:id="31" w:name="sign-off-and-verification"/>
    <w:p>
      <w:pPr>
        <w:pStyle w:val="Heading2"/>
      </w:pPr>
      <w:r>
        <w:t xml:space="preserve">8. Sign-off and Verification</w:t>
      </w:r>
    </w:p>
    <w:p>
      <w:pPr>
        <w:pStyle w:val="FirstParagraph"/>
      </w:pPr>
      <w:r>
        <w:t xml:space="preserve">This Laboratory Report has been reviewed and verified by the Department of Biomedical Sciences in coordination with regional health authorities in Medellín. Any discrepancies or updates to regulatory frameworks will be reflected in subsequent revisions of this document.</w:t>
      </w:r>
    </w:p>
    <w:p>
      <w:pPr>
        <w:pStyle w:val="BodyText"/>
      </w:pPr>
      <w:r>
        <w:rPr>
          <w:bCs/>
          <w:b/>
        </w:rPr>
        <w:t xml:space="preserve">Authorized By:</w:t>
      </w:r>
      <w:r>
        <w:br/>
      </w:r>
      <w:r>
        <w:t xml:space="preserve">Dr. Elena Rodriguez</w:t>
      </w:r>
      <w:r>
        <w:br/>
      </w:r>
      <w:r>
        <w:t xml:space="preserve">Director of Clinical Trials, Antioquia Region</w:t>
      </w:r>
      <w:r>
        <w:br/>
      </w:r>
      <w:r>
        <w:t xml:space="preserve">Colombia Medellín</w:t>
      </w:r>
    </w:p>
    <w:p>
      <w:pPr>
        <w:pStyle w:val="BodyText"/>
      </w:pPr>
      <w:r>
        <w:rPr>
          <w:iCs/>
          <w:i/>
        </w:rPr>
        <w:t xml:space="preserve">Date Signed: 2023-10-26</w:t>
      </w:r>
    </w:p>
    <w:bookmarkEnd w:id="31"/>
    <w:p>
      <w:pPr>
        <w:pStyle w:val="BodyText"/>
      </w:pPr>
      <w:r>
        <w:rPr>
          <w:bCs/>
          <w:b/>
        </w:rPr>
        <w:t xml:space="preserve">Note:</w:t>
      </w:r>
      <w:r>
        <w:t xml:space="preserve"> </w:t>
      </w:r>
      <w:r>
        <w:t xml:space="preserve">This document is confidential and intended solely for the use of the Medical Researcher and authorized personnel associated with research projects in Colombia Medellín. Unauthorized distribution is prohibited.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Analysis in Colombia Medellín</dc:title>
  <dc:creator/>
  <dc:language>en</dc:language>
  <cp:keywords/>
  <dcterms:created xsi:type="dcterms:W3CDTF">2026-07-29T22:13:56Z</dcterms:created>
  <dcterms:modified xsi:type="dcterms:W3CDTF">2026-07-29T22:13:56Z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