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Research</w:t>
      </w:r>
      <w:r>
        <w:t xml:space="preserve"> </w:t>
      </w:r>
      <w:r>
        <w:t xml:space="preserve">Protocol</w:t>
      </w:r>
      <w:r>
        <w:t xml:space="preserve"> </w:t>
      </w:r>
      <w:r>
        <w:t xml:space="preserve">Assessment</w:t>
      </w:r>
    </w:p>
    <w:bookmarkStart w:id="30" w:name="Xb81bbf074e95b704ba75079f8d5fbfaacb2295a"/>
    <w:p>
      <w:pPr>
        <w:pStyle w:val="Heading1"/>
      </w:pPr>
      <w:r>
        <w:t xml:space="preserve">Laboratory Report on Medical Researcher Activities</w:t>
      </w:r>
    </w:p>
    <w:p>
      <w:pPr>
        <w:pStyle w:val="FirstParagraph"/>
      </w:pPr>
      <w:r>
        <w:rPr>
          <w:bCs/>
          <w:b/>
        </w:rPr>
        <w:t xml:space="preserve">Date:</w:t>
      </w:r>
      <w:r>
        <w:t xml:space="preserve"> </w:t>
      </w:r>
      <w:r>
        <w:t xml:space="preserve">October 24, 2023</w:t>
      </w:r>
    </w:p>
    <w:p>
      <w:pPr>
        <w:pStyle w:val="BodyText"/>
      </w:pPr>
      <w:r>
        <w:rPr>
          <w:bCs/>
          <w:b/>
        </w:rPr>
        <w:t xml:space="preserve">Institution:</w:t>
      </w:r>
    </w:p>
    <w:p>
      <w:pPr>
        <w:pStyle w:val="BodyText"/>
      </w:pPr>
      <w:r>
        <w:rPr>
          <w:bCs/>
          <w:b/>
        </w:rPr>
        <w:t xml:space="preserve">Status:</w:t>
      </w:r>
      <w:r>
        <w:t xml:space="preserve"> </w:t>
      </w:r>
      <w:r>
        <w:t xml:space="preserve">Internal Review Document / Confidential</w:t>
      </w:r>
    </w:p>
    <w:bookmarkStart w:id="20" w:name="executive-summary"/>
    <w:p>
      <w:pPr>
        <w:pStyle w:val="Heading2"/>
      </w:pPr>
      <w:r>
        <w:t xml:space="preserve">1. Executive Summary</w:t>
      </w:r>
    </w:p>
    <w:p>
      <w:pPr>
        <w:pStyle w:val="FirstParagraph"/>
      </w:pPr>
      <w:r>
        <w:t xml:space="preserve">This comprehensive Laboratory Report details the operational protocols, ethical considerations, and scientific outcomes associated with recent clinical trials conducted within the metropolitan hub of France Marseille. The primary objective of this document is to evaluate the efficacy of novel immunotherapy treatments administered by our designated Medical Researcher team. As a critical node in Southern European biomedical innovation, France Marseille serves as a strategic location for high-volume patient recruitment and advanced genetic sequencing analysis. This report synthesizes data collected over the past six months, ensuring compliance with both national French regulations and international Good Clinical Practice (GCP) standards.</w:t>
      </w:r>
    </w:p>
    <w:bookmarkEnd w:id="20"/>
    <w:bookmarkStart w:id="21" w:name="introduction-and-context"/>
    <w:p>
      <w:pPr>
        <w:pStyle w:val="Heading2"/>
      </w:pPr>
      <w:r>
        <w:t xml:space="preserve">2. Introduction and Context</w:t>
      </w:r>
    </w:p>
    <w:p>
      <w:pPr>
        <w:pStyle w:val="FirstParagraph"/>
      </w:pPr>
      <w:r>
        <w:t xml:space="preserve">The significance of conducting rigorous Medical Researcher evaluations in France Marseille cannot be overstated. The region is renowned for its robust healthcare infrastructure and its integration with the Mediterranean clinical network, allowing for diverse patient demographics that are crucial for generalized research applicability. The Laboratory Report aims to provide a transparent account of our methodological approaches, specifically focusing on the longitudinal study of autoimmune disorder responses to targeted biologic agents.</w:t>
      </w:r>
    </w:p>
    <w:p>
      <w:pPr>
        <w:pStyle w:val="BodyText"/>
      </w:pPr>
      <w:r>
        <w:t xml:space="preserve">The Medical Researcher team has been tasked with overseeing the entire lifecycle of these clinical investigations, from initial hypothesis formulation to final data interpretation. Given the complex regulatory landscape in France, adherence to strict ethical guidelines is paramount. This document serves not only as a record of findings but also as a testament to the integrity and precision required in modern medical science.</w:t>
      </w:r>
    </w:p>
    <w:bookmarkEnd w:id="21"/>
    <w:bookmarkStart w:id="25" w:name="methodology"/>
    <w:p>
      <w:pPr>
        <w:pStyle w:val="Heading2"/>
      </w:pPr>
      <w:r>
        <w:t xml:space="preserve">3. Methodology</w:t>
      </w:r>
    </w:p>
    <w:p>
      <w:pPr>
        <w:pStyle w:val="FirstParagraph"/>
      </w:pPr>
      <w:r>
        <w:t xml:space="preserve">The procedures outlined in this Laboratory Report were executed under the strict supervision of our lead Medical Researcher, who ensured that every step aligned with the protocols approved by local ethics committees in France Marseille. The methodology can be divided into three distinct phases:</w:t>
      </w:r>
    </w:p>
    <w:bookmarkStart w:id="22" w:name="patient-recruitment-and-screening"/>
    <w:p>
      <w:pPr>
        <w:pStyle w:val="Heading3"/>
      </w:pPr>
      <w:r>
        <w:t xml:space="preserve">3.1 Patient Recruitment and Screening</w:t>
      </w:r>
    </w:p>
    <w:p>
      <w:pPr>
        <w:pStyle w:val="FirstParagraph"/>
      </w:pPr>
      <w:r>
        <w:t xml:space="preserve">Patient recruitment was facilitated through partnerships with major tertiary care hospitals located within the greater France Marseille area. Inclusion criteria focused on patients aged between 18 and 65 diagnosed with specific autoimmune conditions. The Medical Researcher team conducted rigorous screening processes to exclude individuals with comorbidities that could confound the results, thereby ensuring a homogeneous study population.</w:t>
      </w:r>
    </w:p>
    <w:bookmarkEnd w:id="22"/>
    <w:bookmarkStart w:id="23" w:name="data-collection-protocols"/>
    <w:p>
      <w:pPr>
        <w:pStyle w:val="Heading3"/>
      </w:pPr>
      <w:r>
        <w:t xml:space="preserve">3.2 Data Collection Protocols</w:t>
      </w:r>
    </w:p>
    <w:p>
      <w:pPr>
        <w:pStyle w:val="FirstParagraph"/>
      </w:pPr>
      <w:r>
        <w:t xml:space="preserve">Data collection was standardized across all sites in France Marseille to maintain consistency. Electronic Case Report Forms (eCRFs) were utilized by the Medical Researcher staff to capture real-time data on patient vitals, symptom progression, and adverse events. This digital approach minimized human error and facilitated immediate data auditing.</w:t>
      </w:r>
    </w:p>
    <w:bookmarkEnd w:id="23"/>
    <w:bookmarkStart w:id="24" w:name="statistical-analysis"/>
    <w:p>
      <w:pPr>
        <w:pStyle w:val="Heading3"/>
      </w:pPr>
      <w:r>
        <w:t xml:space="preserve">3.3 Statistical Analysis</w:t>
      </w:r>
    </w:p>
    <w:p>
      <w:pPr>
        <w:pStyle w:val="FirstParagraph"/>
      </w:pPr>
      <w:r>
        <w:t xml:space="preserve">The Laboratory Report incorporates advanced statistical modeling to assess the significance of the observed outcomes. Our Medical Researcher analysts employed regression models to control for potential confounding variables, ensuring that the conclusions drawn are statistically robust and reproducible.</w:t>
      </w:r>
    </w:p>
    <w:bookmarkEnd w:id="24"/>
    <w:bookmarkEnd w:id="25"/>
    <w:bookmarkStart w:id="26" w:name="results"/>
    <w:p>
      <w:pPr>
        <w:pStyle w:val="Heading2"/>
      </w:pPr>
      <w:r>
        <w:t xml:space="preserve">4. Results</w:t>
      </w:r>
    </w:p>
    <w:p>
      <w:pPr>
        <w:pStyle w:val="FirstParagraph"/>
      </w:pPr>
      <w:r>
        <w:t xml:space="preserve">The findings presented in this Laboratory Report indicate a promising trend in patient outcomes. The Medical Researcher team observed a statistically significant reduction in inflammatory markers among the treatment group compared to the placebo group. Specifically, patients treated with the novel compound showed a 40% improvement in quality-of-life scores within the first twelve weeks of administration.</w:t>
      </w:r>
    </w:p>
    <w:p>
      <w:pPr>
        <w:pStyle w:val="BodyText"/>
      </w:pPr>
      <w:r>
        <w:t xml:space="preserve">Furthermore, safety profiles remained favorable across all participating sites in France Marseille. No serious adverse events were directly attributed to the experimental treatment, reinforcing its viability for broader clinical application. These results are pivotal for the next phase of development and underscore the effectiveness of our collaborative efforts with local healthcare providers.</w:t>
      </w:r>
    </w:p>
    <w:bookmarkEnd w:id="26"/>
    <w:bookmarkStart w:id="27" w:name="discussion"/>
    <w:p>
      <w:pPr>
        <w:pStyle w:val="Heading2"/>
      </w:pPr>
      <w:r>
        <w:t xml:space="preserve">5. Discussion</w:t>
      </w:r>
    </w:p>
    <w:p>
      <w:pPr>
        <w:pStyle w:val="FirstParagraph"/>
      </w:pPr>
      <w:r>
        <w:t xml:space="preserve">The implications of these findings extend beyond the immediate study population. The success observed in this Laboratory Report highlights the potential for scalable medical interventions in complex autoimmune diseases. The Medical Researcher team notes that the diverse genetic background of patients recruited in France Marseille provided valuable insights into individual variability, which is often overlooked in smaller, homogenous studies.</w:t>
      </w:r>
    </w:p>
    <w:p>
      <w:pPr>
        <w:pStyle w:val="BodyText"/>
      </w:pPr>
      <w:r>
        <w:t xml:space="preserve">However, challenges remain. The Medical Researcher team identified logistical hurdles related to patient retention and follow-up care coordination within the France Marseille region. These operational insights are critical for refining future protocols and ensuring higher completion rates in subsequent trials.</w:t>
      </w:r>
    </w:p>
    <w:bookmarkEnd w:id="27"/>
    <w:bookmarkStart w:id="28" w:name="conclusion"/>
    <w:p>
      <w:pPr>
        <w:pStyle w:val="Heading2"/>
      </w:pPr>
      <w:r>
        <w:t xml:space="preserve">6. Conclusion</w:t>
      </w:r>
    </w:p>
    <w:p>
      <w:pPr>
        <w:pStyle w:val="FirstParagraph"/>
      </w:pPr>
      <w:r>
        <w:t xml:space="preserve">In conclusion, this Laboratory Report confirms that the Medical Researcher initiatives in France Marseille have yielded significant scientific data with high clinical relevance. The rigorous adherence to protocol and the collaborative spirit among local institutions have facilitated a successful execution of complex biomedical studies. As we move forward, it is essential to build upon these findings, expanding our reach while maintaining the high ethical and scientific standards that define our work in this region.</w:t>
      </w:r>
    </w:p>
    <w:p>
      <w:pPr>
        <w:pStyle w:val="BodyText"/>
      </w:pPr>
      <w:r>
        <w:t xml:space="preserve">We recommend that future research continue to leverage the unique advantages of the France Marseille clinical network, further empowering Medical Researcher teams to drive innovation in patient care. This report stands as a foundational document for ongoing projects and serves as a benchmark for excellence in medical research methodology.</w:t>
      </w:r>
    </w:p>
    <w:bookmarkEnd w:id="28"/>
    <w:bookmarkStart w:id="29" w:name="appendices"/>
    <w:p>
      <w:pPr>
        <w:pStyle w:val="Heading2"/>
      </w:pPr>
      <w:r>
        <w:t xml:space="preserve">7. Appendices</w:t>
      </w:r>
    </w:p>
    <w:p>
      <w:pPr>
        <w:numPr>
          <w:ilvl w:val="0"/>
          <w:numId w:val="1001"/>
        </w:numPr>
        <w:pStyle w:val="Compact"/>
      </w:pPr>
      <w:r>
        <w:rPr>
          <w:bCs/>
          <w:b/>
        </w:rPr>
        <w:t xml:space="preserve">A:</w:t>
      </w:r>
    </w:p>
    <w:p>
      <w:pPr>
        <w:numPr>
          <w:ilvl w:val="0"/>
          <w:numId w:val="1001"/>
        </w:numPr>
        <w:pStyle w:val="Compact"/>
      </w:pPr>
      <w:r>
        <w:rPr>
          <w:bCs/>
          <w:b/>
        </w:rPr>
        <w:t xml:space="preserve">B:</w:t>
      </w:r>
    </w:p>
    <w:p>
      <w:pPr>
        <w:numPr>
          <w:ilvl w:val="0"/>
          <w:numId w:val="1001"/>
        </w:numPr>
        <w:pStyle w:val="Compact"/>
      </w:pPr>
      <w:r>
        <w:rPr>
          <w:bCs/>
          <w:b/>
        </w:rPr>
        <w:t xml:space="preserve">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Research Protocol Assessment</dc:title>
  <dc:creator/>
  <cp:keywords/>
  <dcterms:created xsi:type="dcterms:W3CDTF">2026-07-29T17:20:42Z</dcterms:created>
  <dcterms:modified xsi:type="dcterms:W3CDTF">2026-07-29T17:20:42Z</dcterms:modified>
</cp:coreProperties>
</file>

<file path=docProps/custom.xml><?xml version="1.0" encoding="utf-8"?>
<Properties xmlns="http://schemas.openxmlformats.org/officeDocument/2006/custom-properties" xmlns:vt="http://schemas.openxmlformats.org/officeDocument/2006/docPropsVTypes"/>
</file>