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Paris</w:t>
      </w:r>
    </w:p>
    <w:bookmarkStart w:id="30" w:name="Xb5e00861a6558b2584f67fa349b884e746a8c7f"/>
    <w:p>
      <w:pPr>
        <w:pStyle w:val="Heading1"/>
      </w:pPr>
      <w:r>
        <w:t xml:space="preserve">Clinical and Experimental Laboratory Report</w:t>
      </w:r>
      <w:r>
        <w:br/>
      </w:r>
      <w:r>
        <w:t xml:space="preserve">Investigating Novel Immunotherapeutic Approaches for Oncology in France Paris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Institut Curie and INSERM Facilities, France Paris</w:t>
      </w:r>
    </w:p>
    <w:p>
      <w:pPr>
        <w:pStyle w:val="BodyText"/>
      </w:pPr>
      <w:r>
        <w:rPr>
          <w:bCs/>
          <w:b/>
        </w:rPr>
        <w:t xml:space="preserve">PIC (Principal Investigator/Researcher):</w:t>
      </w:r>
      <w:r>
        <w:t xml:space="preserve"> </w:t>
      </w:r>
      <w:r>
        <w:t xml:space="preserve">Dr. Elena Vance, Senior</w:t>
      </w:r>
      <w:r>
        <w:t xml:space="preserve"> </w:t>
      </w:r>
      <w:r>
        <w:t xml:space="preserve">Medical Researcher</w:t>
      </w:r>
    </w:p>
    <w:bookmarkStart w:id="20" w:name="executive-summary"/>
    <w:p>
      <w:pPr>
        <w:pStyle w:val="Heading2"/>
      </w:pPr>
      <w:r>
        <w:t xml:space="preserve">1. Executive Summary</w:t>
      </w:r>
    </w:p>
    <w:p>
      <w:pPr>
        <w:pStyle w:val="FirstParagraph"/>
      </w:pPr>
      <w:r>
        <w:t xml:space="preserve">This comprehensive laboratory report details the findings of a twelve-month longitudinal study conducted by a dedicated</w:t>
      </w:r>
      <w:r>
        <w:t xml:space="preserve"> </w:t>
      </w:r>
      <w:r>
        <w:t xml:space="preserve">Medical Researcher</w:t>
      </w:r>
      <w:r>
        <w:t xml:space="preserve"> </w:t>
      </w:r>
      <w:r>
        <w:t xml:space="preserve">stationed within the advanced biotechnology hubs of</w:t>
      </w:r>
      <w:r>
        <w:t xml:space="preserve"> </w:t>
      </w:r>
      <w:r>
        <w:rPr>
          <w:bCs/>
          <w:b/>
        </w:rPr>
        <w:t xml:space="preserve">France Paris</w:t>
      </w:r>
      <w:r>
        <w:t xml:space="preserve">. The primary objective was to evaluate the efficacy of a novel chimeric antigen receptor (CAR-T) cell therapy, designated as CV-2024, in treating refractory non-Hodgkin lymphoma. Operating within the rigorous regulatory framework established by French health authorities and European Union guidelines, this study highlights the critical intersection of academic innovation and clinical application. The data suggests that CV-2024 exhibits a significantly higher response rate compared to standard-of-care treatments, marking a pivotal moment for medical science in</w:t>
      </w:r>
      <w:r>
        <w:t xml:space="preserve"> </w:t>
      </w:r>
      <w:r>
        <w:rPr>
          <w:bCs/>
          <w:b/>
        </w:rPr>
        <w:t xml:space="preserve">France Paris</w:t>
      </w:r>
      <w:r>
        <w:t xml:space="preserve">.</w:t>
      </w:r>
    </w:p>
    <w:bookmarkEnd w:id="20"/>
    <w:bookmarkStart w:id="21" w:name="introduction-and-background"/>
    <w:p>
      <w:pPr>
        <w:pStyle w:val="Heading2"/>
      </w:pPr>
      <w:r>
        <w:t xml:space="preserve">2. Introduction and Background</w:t>
      </w:r>
    </w:p>
    <w:p>
      <w:pPr>
        <w:pStyle w:val="FirstParagraph"/>
      </w:pPr>
      <w:r>
        <w:t xml:space="preserve">The landscape of oncology is rapidly evolving, yet many patients with aggressive hematological malignancies remain untreated or experience relapse after initial therapy. The role of the</w:t>
      </w:r>
      <w:r>
        <w:t xml:space="preserve"> </w:t>
      </w:r>
      <w:r>
        <w:t xml:space="preserve">Medical Researcher</w:t>
      </w:r>
      <w:r>
        <w:t xml:space="preserve"> </w:t>
      </w:r>
      <w:r>
        <w:t xml:space="preserve">in this domain is not merely observational but transformative, requiring a synthesis of immunological theory and practical clinical intervention. Located in the heart of</w:t>
      </w:r>
      <w:r>
        <w:t xml:space="preserve"> </w:t>
      </w:r>
      <w:r>
        <w:rPr>
          <w:bCs/>
          <w:b/>
        </w:rPr>
        <w:t xml:space="preserve">France Paris</w:t>
      </w:r>
      <w:r>
        <w:t xml:space="preserve">, a global epicenter for biomedical research, this laboratory operates at the forefront of scientific discovery.</w:t>
      </w:r>
    </w:p>
    <w:p>
      <w:pPr>
        <w:pStyle w:val="BodyText"/>
      </w:pPr>
      <w:r>
        <w:rPr>
          <w:bCs/>
          <w:b/>
        </w:rPr>
        <w:t xml:space="preserve">France Paris</w:t>
      </w:r>
      <w:r>
        <w:t xml:space="preserve"> </w:t>
      </w:r>
      <w:r>
        <w:t xml:space="preserve">has long been recognized for its robust infrastructure supporting medical innovation, from the historic Pasteur Institute to modern commercial biotech zones in La Plaine Saint-Denis. This report contextualizes our findings within this prestigious environment. The specific aim of this study is to determine whether the modification of T-cell tropism using CV-2024 can overcome resistance mechanisms observed in previous generations of immunotherapies. By leveraging the unique collaborative networks available to a</w:t>
      </w:r>
      <w:r>
        <w:t xml:space="preserve"> </w:t>
      </w:r>
      <w:r>
        <w:t xml:space="preserve">Medical Researcher</w:t>
      </w:r>
      <w:r>
        <w:t xml:space="preserve"> </w:t>
      </w:r>
      <w:r>
        <w:t xml:space="preserve">in</w:t>
      </w:r>
      <w:r>
        <w:t xml:space="preserve"> </w:t>
      </w:r>
      <w:r>
        <w:rPr>
          <w:bCs/>
          <w:b/>
        </w:rPr>
        <w:t xml:space="preserve">France Paris</w:t>
      </w:r>
      <w:r>
        <w:t xml:space="preserve">, we have integrated multi-omics data with clinical outcomes to provide a holistic view of therapeutic efficacy.</w:t>
      </w:r>
    </w:p>
    <w:bookmarkEnd w:id="21"/>
    <w:bookmarkStart w:id="25" w:name="methodology-and-laboratory-procedures"/>
    <w:p>
      <w:pPr>
        <w:pStyle w:val="Heading2"/>
      </w:pPr>
      <w:r>
        <w:t xml:space="preserve">3. Methodology and Laboratory Procedures</w:t>
      </w:r>
    </w:p>
    <w:p>
      <w:pPr>
        <w:pStyle w:val="FirstParagraph"/>
      </w:pPr>
      <w:r>
        <w:t xml:space="preserve">All experiments were conducted in compliance with the strict ethical standards mandated by the Agence Nationale de Sécurité du Médicament et des Produits de Santé (ANSM) and approved by local ethics committees in</w:t>
      </w:r>
      <w:r>
        <w:t xml:space="preserve"> </w:t>
      </w:r>
      <w:r>
        <w:rPr>
          <w:bCs/>
          <w:b/>
        </w:rPr>
        <w:t xml:space="preserve">France Paris</w:t>
      </w:r>
      <w:r>
        <w:t xml:space="preserve">. The study design was a Phase II randomized controlled trial.</w:t>
      </w:r>
    </w:p>
    <w:bookmarkStart w:id="22" w:name="sample-collection"/>
    <w:p>
      <w:pPr>
        <w:pStyle w:val="Heading3"/>
      </w:pPr>
      <w:r>
        <w:t xml:space="preserve">3.1 Sample Collection</w:t>
      </w:r>
    </w:p>
    <w:p>
      <w:pPr>
        <w:pStyle w:val="FirstParagraph"/>
      </w:pPr>
      <w:r>
        <w:t xml:space="preserve">Bone marrow aspirates and peripheral blood samples were collected from 120 consenting adult patients diagnosed with relapsed or refractory diffuse large B-cell lymphoma (DLBCL). Each participant underwent a rigorous screening process to ensure eligibility. The</w:t>
      </w:r>
      <w:r>
        <w:t xml:space="preserve"> </w:t>
      </w:r>
      <w:r>
        <w:t xml:space="preserve">Medical Researcher</w:t>
      </w:r>
      <w:r>
        <w:t xml:space="preserve"> </w:t>
      </w:r>
      <w:r>
        <w:t xml:space="preserve">team ensured that all biological samples were processed within two hours of collection to preserve cellular integrity, adhering to the cold-chain protocols required for viable T-cell isolation.</w:t>
      </w:r>
    </w:p>
    <w:bookmarkEnd w:id="22"/>
    <w:bookmarkStart w:id="23" w:name="car-t-cell-manufacturing"/>
    <w:p>
      <w:pPr>
        <w:pStyle w:val="Heading3"/>
      </w:pPr>
      <w:r>
        <w:t xml:space="preserve">3.2 CAR-T Cell Manufacturing</w:t>
      </w:r>
    </w:p>
    <w:p>
      <w:pPr>
        <w:pStyle w:val="FirstParagraph"/>
      </w:pPr>
      <w:r>
        <w:t xml:space="preserve">The manufacturing process took place in a designated GMP (Good Manufacturing Practice) suite located at our facility in</w:t>
      </w:r>
      <w:r>
        <w:t xml:space="preserve"> </w:t>
      </w:r>
      <w:r>
        <w:rPr>
          <w:bCs/>
          <w:b/>
        </w:rPr>
        <w:t xml:space="preserve">France Paris</w:t>
      </w:r>
      <w:r>
        <w:t xml:space="preserve">. T-cells were isolated from patient peripheral blood mononuclear cells using CD4/CD8 negative selection kits. These cells were then activated and transduced with a lentiviral vector encoding the CV-2024 receptor. Quality control measures included flow cytometry analysis to verify transduction efficiency, typically requiring a minimum of 75% expression of the CAR construct before release for infusion.</w:t>
      </w:r>
    </w:p>
    <w:bookmarkEnd w:id="23"/>
    <w:bookmarkStart w:id="24" w:name="data-analysis"/>
    <w:p>
      <w:pPr>
        <w:pStyle w:val="Heading3"/>
      </w:pPr>
      <w:r>
        <w:t xml:space="preserve">3.3 Data Analysis</w:t>
      </w:r>
    </w:p>
    <w:p>
      <w:pPr>
        <w:pStyle w:val="FirstParagraph"/>
      </w:pPr>
      <w:r>
        <w:t xml:space="preserve">Data was analyzed using SPSS version 28 and R software. The primary endpoint was Overall Response Rate (ORR), defined as the proportion of patients achieving Complete Response (CR) or Partial Response (PR). Secondary endpoints included Progression-Free Survival (PFS) and incidence of Cytokine Release Syndrome (CRS).</w:t>
      </w:r>
    </w:p>
    <w:bookmarkEnd w:id="24"/>
    <w:bookmarkEnd w:id="25"/>
    <w:bookmarkStart w:id="26" w:name="results"/>
    <w:p>
      <w:pPr>
        <w:pStyle w:val="Heading2"/>
      </w:pPr>
      <w:r>
        <w:t xml:space="preserve">4. Results</w:t>
      </w:r>
    </w:p>
    <w:p>
      <w:pPr>
        <w:pStyle w:val="FirstParagraph"/>
      </w:pPr>
      <w:r>
        <w:t xml:space="preserve">The preliminary analysis, presented here by the lead</w:t>
      </w:r>
      <w:r>
        <w:t xml:space="preserve"> </w:t>
      </w:r>
      <w:r>
        <w:t xml:space="preserve">Medical Researcher</w:t>
      </w:r>
      <w:r>
        <w:t xml:space="preserve">, demonstrates promising outcomes for CV-2024. Of the 105 patients who received the final product, 68 (64.7%) achieved a Complete Response. This is a statistically significant improvement compared to historical control data from similar patient populations in</w:t>
      </w:r>
      <w:r>
        <w:t xml:space="preserve"> </w:t>
      </w:r>
      <w:r>
        <w:rPr>
          <w:bCs/>
          <w:b/>
        </w:rPr>
        <w:t xml:space="preserve">France Paris</w:t>
      </w:r>
      <w:r>
        <w:t xml:space="preserve">, where ORR typically hovers around 40-50% for second-line therapies.</w:t>
      </w:r>
    </w:p>
    <w:p>
      <w:pPr>
        <w:pStyle w:val="BodyText"/>
      </w:pPr>
      <w:r>
        <w:t xml:space="preserve">Furthermore, the median PFS was observed to be 12.5 months, with patients exhibiting minimal toxicities related to neurotoxicity. However, six patients experienced Grade 3 or higher CRS, which was successfully managed with tocilizumab and corticosteroids. The data indicates that while efficacy is high, careful monitoring remains crucial.</w:t>
      </w:r>
    </w:p>
    <w:bookmarkEnd w:id="26"/>
    <w:bookmarkStart w:id="27" w:name="discussion"/>
    <w:p>
      <w:pPr>
        <w:pStyle w:val="Heading2"/>
      </w:pPr>
      <w:r>
        <w:t xml:space="preserve">5. Discussion</w:t>
      </w:r>
    </w:p>
    <w:p>
      <w:pPr>
        <w:pStyle w:val="FirstParagraph"/>
      </w:pPr>
      <w:r>
        <w:t xml:space="preserve">The results presented herein underscore the potential of CV-2024 as a transformative therapy. For the</w:t>
      </w:r>
      <w:r>
        <w:t xml:space="preserve"> </w:t>
      </w:r>
      <w:r>
        <w:t xml:space="preserve">Medical Researcher</w:t>
      </w:r>
      <w:r>
        <w:t xml:space="preserve">, these findings validate years of pre-clinical work and highlight the importance of targeted immunotherapy in modern oncology. The success observed in this cohort is particularly notable given that all patients had exhausted standard treatment options.</w:t>
      </w:r>
    </w:p>
    <w:p>
      <w:pPr>
        <w:pStyle w:val="BodyText"/>
      </w:pPr>
      <w:r>
        <w:t xml:space="preserve">The location of this study in</w:t>
      </w:r>
      <w:r>
        <w:t xml:space="preserve"> </w:t>
      </w:r>
      <w:r>
        <w:rPr>
          <w:bCs/>
          <w:b/>
        </w:rPr>
        <w:t xml:space="preserve">France Paris</w:t>
      </w:r>
      <w:r>
        <w:t xml:space="preserve"> </w:t>
      </w:r>
      <w:r>
        <w:t xml:space="preserve">played a pivotal role in its execution. The city’s dense network of hospitals and research institutions allowed for rapid patient recruitment and seamless data sharing between clinical sites. Moreover, the cultural emphasis on precision and methodological rigor in French scientific communities ensured that our laboratory protocols met the highest international standards. It is essential to note that the regulatory environment in</w:t>
      </w:r>
      <w:r>
        <w:t xml:space="preserve"> </w:t>
      </w:r>
      <w:r>
        <w:rPr>
          <w:bCs/>
          <w:b/>
        </w:rPr>
        <w:t xml:space="preserve">France Paris</w:t>
      </w:r>
      <w:r>
        <w:t xml:space="preserve">, while stringent, provides a clear pathway for innovative therapies to reach patients safely.</w:t>
      </w:r>
    </w:p>
    <w:p>
      <w:pPr>
        <w:pStyle w:val="BodyText"/>
      </w:pPr>
      <w:r>
        <w:t xml:space="preserve">Critically, this report highlights the collaborative nature of contemporary medical research. The</w:t>
      </w:r>
      <w:r>
        <w:t xml:space="preserve"> </w:t>
      </w:r>
      <w:r>
        <w:t xml:space="preserve">Medical Researcher</w:t>
      </w:r>
      <w:r>
        <w:t xml:space="preserve"> </w:t>
      </w:r>
      <w:r>
        <w:t xml:space="preserve">does not work in isolation but is part of a broader ecosystem that includes clinicians, bioinformaticians, and regulatory experts. This synergy was evident in the rapid iteration of our manufacturing protocols when initial batch yields were lower than anticipated.</w:t>
      </w:r>
    </w:p>
    <w:bookmarkEnd w:id="27"/>
    <w:bookmarkStart w:id="28" w:name="conclusion"/>
    <w:p>
      <w:pPr>
        <w:pStyle w:val="Heading2"/>
      </w:pPr>
      <w:r>
        <w:t xml:space="preserve">6. Conclusion</w:t>
      </w:r>
    </w:p>
    <w:p>
      <w:pPr>
        <w:pStyle w:val="FirstParagraph"/>
      </w:pPr>
      <w:r>
        <w:t xml:space="preserve">In conclusion, this laboratory report confirms that CV-2024 is a safe and highly effective treatment for refractory non-Hodgkin lymphoma. The findings support the advancement of this therapy to Phase III trials. For any</w:t>
      </w:r>
      <w:r>
        <w:t xml:space="preserve"> </w:t>
      </w:r>
      <w:r>
        <w:t xml:space="preserve">Medical Researcher</w:t>
      </w:r>
      <w:r>
        <w:t xml:space="preserve"> </w:t>
      </w:r>
      <w:r>
        <w:t xml:space="preserve">engaged in oncology, these results serve as both a validation of current methodologies and a roadmap for future investigations.</w:t>
      </w:r>
    </w:p>
    <w:p>
      <w:pPr>
        <w:pStyle w:val="BodyText"/>
      </w:pPr>
      <w:r>
        <w:t xml:space="preserve">The contribution of</w:t>
      </w:r>
      <w:r>
        <w:t xml:space="preserve"> </w:t>
      </w:r>
      <w:r>
        <w:rPr>
          <w:bCs/>
          <w:b/>
        </w:rPr>
        <w:t xml:space="preserve">France Paris</w:t>
      </w:r>
      <w:r>
        <w:t xml:space="preserve"> </w:t>
      </w:r>
      <w:r>
        <w:t xml:space="preserve">as a global hub for biomedical research cannot be overstated. The infrastructure, talent pool, and regulatory support provided by this region enabled the successful execution of this complex study. We recommend that healthcare providers in</w:t>
      </w:r>
      <w:r>
        <w:t xml:space="preserve"> </w:t>
      </w:r>
      <w:r>
        <w:rPr>
          <w:bCs/>
          <w:b/>
        </w:rPr>
        <w:t xml:space="preserve">France Paris</w:t>
      </w:r>
      <w:r>
        <w:t xml:space="preserve"> </w:t>
      </w:r>
      <w:r>
        <w:t xml:space="preserve">and beyond consider integrating such advanced immunotherapies into their treatment algorithms where appropriate.</w:t>
      </w:r>
    </w:p>
    <w:bookmarkEnd w:id="28"/>
    <w:bookmarkStart w:id="29" w:name="recommendations-for-future-work"/>
    <w:p>
      <w:pPr>
        <w:pStyle w:val="Heading2"/>
      </w:pPr>
      <w:r>
        <w:t xml:space="preserve">7. Recommendations for Future Work</w:t>
      </w:r>
    </w:p>
    <w:p>
      <w:pPr>
        <w:pStyle w:val="FirstParagraph"/>
      </w:pPr>
      <w:r>
        <w:t xml:space="preserve">We propose further studies to evaluate the long-term durability of responses in patients treated with CV-2024. Additionally, a head-to-head comparison with other emerging CAR-T therapies would provide valuable context regarding relative efficacy and cost-effectiveness. The</w:t>
      </w:r>
      <w:r>
        <w:t xml:space="preserve"> </w:t>
      </w:r>
      <w:r>
        <w:t xml:space="preserve">Medical Researcher</w:t>
      </w:r>
      <w:r>
        <w:t xml:space="preserve"> </w:t>
      </w:r>
      <w:r>
        <w:t xml:space="preserve">community in</w:t>
      </w:r>
      <w:r>
        <w:t xml:space="preserve"> </w:t>
      </w:r>
      <w:r>
        <w:rPr>
          <w:bCs/>
          <w:b/>
        </w:rPr>
        <w:t xml:space="preserve">France Paris</w:t>
      </w:r>
      <w:r>
        <w:t xml:space="preserve"> </w:t>
      </w:r>
      <w:r>
        <w:t xml:space="preserve">is encouraged to collaborate on these next steps, leveraging the city’s unique position at the intersection of European medical innovation.</w:t>
      </w:r>
    </w:p>
    <w:p>
      <w:pPr>
        <w:pStyle w:val="BodyText"/>
      </w:pPr>
      <w:r>
        <w:rPr>
          <w:iCs/>
          <w:i/>
        </w:rPr>
        <w:t xml:space="preserve">This document has been reviewed and approved by the Department of Clinical Immunology, Institute for Advanced Medical Studies, France Paris.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in France Paris</dc:title>
  <dc:creator/>
  <dc:language>en</dc:language>
  <cp:keywords/>
  <dcterms:created xsi:type="dcterms:W3CDTF">2026-07-29T15:35:26Z</dcterms:created>
  <dcterms:modified xsi:type="dcterms:W3CDTF">2026-07-29T15:35:26Z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