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Medical</w:t>
      </w:r>
      <w:r>
        <w:t xml:space="preserve"> </w:t>
      </w:r>
      <w:r>
        <w:t xml:space="preserve">Research</w:t>
      </w:r>
      <w:r>
        <w:t xml:space="preserve"> </w:t>
      </w:r>
      <w:r>
        <w:t xml:space="preserve">Initiatives</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Institutional Review Board, Frankfurt Main Station Research Cluster</w:t>
      </w:r>
      <w:r>
        <w:br/>
      </w:r>
      <w:r>
        <w:br/>
      </w:r>
      <w:r>
        <w:t xml:space="preserve">Sr. Dr. Elena Weber, Lead Medical Researcher</w:t>
      </w:r>
    </w:p>
    <w:p>
      <w:pPr>
        <w:pStyle w:val="BodyText"/>
      </w:pPr>
      <w:r>
        <w:br/>
      </w:r>
    </w:p>
    <w:bookmarkStart w:id="31" w:name="X281787602d175d8ae9b80788069c8f9acbe891a"/>
    <w:p>
      <w:pPr>
        <w:pStyle w:val="Heading1"/>
      </w:pPr>
      <w:r>
        <w:t xml:space="preserve">Laboratory Report: Advanced Pharmacological Interventions in Cardiovascular Disease Prevention</w:t>
      </w:r>
    </w:p>
    <w:p>
      <w:pPr>
        <w:pStyle w:val="FirstParagraph"/>
      </w:pPr>
      <w:r>
        <w:rPr>
          <w:bCs/>
          <w:b/>
        </w:rPr>
        <w:t xml:space="preserve">Location of Study:</w:t>
      </w:r>
      <w:r>
        <w:t xml:space="preserve"> </w:t>
      </w:r>
      <w:r>
        <w:t xml:space="preserve">Germany Frankfurt</w:t>
      </w:r>
      <w:r>
        <w:br/>
      </w:r>
      <w:r>
        <w:rPr>
          <w:bCs/>
          <w:b/>
        </w:rPr>
        <w:t xml:space="preserve">Institutional Affiliation:</w:t>
      </w:r>
      <w:r>
        <w:t xml:space="preserve"> </w:t>
      </w:r>
      <w:r>
        <w:t xml:space="preserve">Institute for Translational Medicine, Goethe University Frankfurt</w:t>
      </w:r>
      <w:r>
        <w:br/>
      </w:r>
      <w:r>
        <w:rPr>
          <w:bCs/>
          <w:b/>
        </w:rPr>
        <w:t xml:space="preserve">Date of Submission:</w:t>
      </w:r>
      <w:r>
        <w:t xml:space="preserve"> </w:t>
      </w:r>
      <w:r>
        <w:t xml:space="preserve">October 24, 2023</w:t>
      </w:r>
      <w:r>
        <w:br/>
      </w:r>
      <w:r>
        <w:rPr>
          <w:bCs/>
          <w:b/>
        </w:rPr>
        <w:t xml:space="preserve">Status:</w:t>
      </w:r>
      <w:r>
        <w:t xml:space="preserve"> </w:t>
      </w:r>
      <w:r>
        <w:t xml:space="preserve">Confidential / Peer Review Pending</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outlines the preliminary findings of a six-month longitudinal study conducted within the high-density urban environment of Germany Frankfurt. The primary objective was to evaluate the efficacy of novel anti-inflammatory agents in mitigating cardiovascular risks associated with urban pollution exposure. As a designated</w:t>
      </w:r>
      <w:r>
        <w:t xml:space="preserve"> </w:t>
      </w:r>
      <w:r>
        <w:rPr>
          <w:bCs/>
          <w:b/>
        </w:rPr>
        <w:t xml:space="preserve">Medical Researcher</w:t>
      </w:r>
      <w:r>
        <w:t xml:space="preserve">, I have collated data from 450 participants residing in various districts of Germany Frankfurt, ranging from the financial district near the Main Tower to residential areas in Sachsenhausen. The results indicate a statistically significant correlation between air quality indices and inflammatory biomarkers, suggesting that targeted pharmacological interventions could serve as a vital adjunct therapy for residents of major metropolitan hubs.</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Germany Frankfurt</w:t>
      </w:r>
      <w:r>
        <w:t xml:space="preserve">, often referred to simply as Frankfurt am Main, serves as a critical hub for financial services and transportation in Europe. Its geographic location in the Rhine-Main area exposes its population to unique environmental challenges, particularly regarding particulate matter (PM2.5) and nitrogen oxides. Previous epidemiological studies have established links between urban pollution and increased incidence of myocardial infarction and stroke. However, there remains a gap in understanding how localized pharmacological mitigation strategies can offset these risks.</w:t>
      </w:r>
    </w:p>
    <w:p>
      <w:pPr>
        <w:pStyle w:val="BodyText"/>
      </w:pPr>
      <w:r>
        <w:t xml:space="preserve">As a</w:t>
      </w:r>
      <w:r>
        <w:t xml:space="preserve"> </w:t>
      </w:r>
      <w:r>
        <w:rPr>
          <w:bCs/>
          <w:b/>
        </w:rPr>
        <w:t xml:space="preserve">Medical Researcher</w:t>
      </w:r>
      <w:r>
        <w:t xml:space="preserve">, it is imperative to approach this study with rigorous adherence to ethical standards and scientific methodology. The hypothesis posits that regular administration of low-dose anti-inflammatory compounds, specifically COX-2 inhibitors combined with antioxidant complexes, will reduce systemic inflammation markers (such as C-reactive protein and interleukin-6) in subjects exposed to high levels of urban pollution compared to a placebo group.</w:t>
      </w:r>
    </w:p>
    <w:bookmarkEnd w:id="21"/>
    <w:bookmarkStart w:id="25" w:name="methodology"/>
    <w:p>
      <w:pPr>
        <w:pStyle w:val="Heading2"/>
      </w:pPr>
      <w:r>
        <w:t xml:space="preserve">3. Methodology</w:t>
      </w:r>
    </w:p>
    <w:bookmarkStart w:id="22" w:name="participant-selection"/>
    <w:p>
      <w:pPr>
        <w:pStyle w:val="Heading3"/>
      </w:pPr>
      <w:r>
        <w:t xml:space="preserve">3.1 Participant Selection</w:t>
      </w:r>
    </w:p>
    <w:p>
      <w:pPr>
        <w:pStyle w:val="FirstParagraph"/>
      </w:pPr>
      <w:r>
        <w:t xml:space="preserve">The study population was recruited from three distinct zones within</w:t>
      </w:r>
      <w:r>
        <w:t xml:space="preserve"> </w:t>
      </w:r>
      <w:r>
        <w:rPr>
          <w:bCs/>
          <w:b/>
        </w:rPr>
        <w:t xml:space="preserve">Germany Frankfurt</w:t>
      </w:r>
      <w:r>
        <w:t xml:space="preserve">: Zone A (High Traffic Density), Zone B (Moderate Traffic Density), and Zone C (Low Population Density/Green Spaces). Participants aged 40 to 65 were selected based on the absence of pre-existing cardiovascular diseases, non-smoking status, and willingness to commit to a six-month trial. In total, 150 participants were assigned to each zone.</w:t>
      </w:r>
    </w:p>
    <w:bookmarkEnd w:id="22"/>
    <w:bookmarkStart w:id="23" w:name="data-collection-protocols"/>
    <w:p>
      <w:pPr>
        <w:pStyle w:val="Heading3"/>
      </w:pPr>
      <w:r>
        <w:t xml:space="preserve">3.2 Data Collection Protocols</w:t>
      </w:r>
    </w:p>
    <w:p>
      <w:pPr>
        <w:pStyle w:val="FirstParagraph"/>
      </w:pPr>
      <w:r>
        <w:t xml:space="preserve">Data collection involved bi-weekly blood samples analyzed for inflammatory biomarkers, daily air quality monitoring using personal portable sensors, and lifestyle questionnaires regarding diet and physical activity. The protocol strictly followed the Declaration of Helsinki and was approved by the Ethics Committee of Goethe University Frankfurt. As a</w:t>
      </w:r>
      <w:r>
        <w:t xml:space="preserve"> </w:t>
      </w:r>
      <w:r>
        <w:rPr>
          <w:bCs/>
          <w:b/>
        </w:rPr>
        <w:t xml:space="preserve">Medical Researcher</w:t>
      </w:r>
      <w:r>
        <w:t xml:space="preserve">, I ensured that informed consent was obtained from all participants, clearly explaining the risks and benefits associated with participation.</w:t>
      </w:r>
    </w:p>
    <w:bookmarkEnd w:id="23"/>
    <w:bookmarkStart w:id="24" w:name="statistical-analysis"/>
    <w:p>
      <w:pPr>
        <w:pStyle w:val="Heading3"/>
      </w:pPr>
      <w:r>
        <w:t xml:space="preserve">3.3 Statistical Analysis</w:t>
      </w:r>
    </w:p>
    <w:p>
      <w:pPr>
        <w:pStyle w:val="FirstParagraph"/>
      </w:pPr>
      <w:r>
        <w:t xml:space="preserve">Data were analyzed using SPSS version 28.0. A mixed-model ANOVA was employed to assess changes in biomarker levels over time between the treatment and placebo groups within each zone.</w:t>
      </w:r>
    </w:p>
    <w:bookmarkEnd w:id="24"/>
    <w:bookmarkEnd w:id="25"/>
    <w:bookmarkStart w:id="28" w:name="results"/>
    <w:p>
      <w:pPr>
        <w:pStyle w:val="Heading2"/>
      </w:pPr>
      <w:r>
        <w:t xml:space="preserve">4. Results</w:t>
      </w:r>
    </w:p>
    <w:bookmarkStart w:id="26" w:name="biomarker-reductions"/>
    <w:p>
      <w:pPr>
        <w:pStyle w:val="Heading3"/>
      </w:pPr>
      <w:r>
        <w:t xml:space="preserve">4.1 Biomarker Reductions</w:t>
      </w:r>
    </w:p>
    <w:p>
      <w:pPr>
        <w:pStyle w:val="FirstParagraph"/>
      </w:pPr>
      <w:r>
        <w:t xml:space="preserve">The</w:t>
      </w:r>
      <w:r>
        <w:t xml:space="preserve"> </w:t>
      </w:r>
      <w:r>
        <w:rPr>
          <w:bCs/>
          <w:b/>
        </w:rPr>
        <w:t xml:space="preserve">Laboratory Report</w:t>
      </w:r>
      <w:r>
        <w:t xml:space="preserve"> </w:t>
      </w:r>
      <w:r>
        <w:t xml:space="preserve">indicates that participants in Zone A (High Traffic Density) who received the active treatment showed a 15% reduction in C-reactive protein levels compared to a 4% reduction in the placebo group over six months. This difference was statistically significant (p &lt; 0.01). Participants in Zone B and Zone C showed less pronounced but still positive trends, suggesting that environmental load plays a crucial role in the efficacy of the intervention.</w:t>
      </w:r>
    </w:p>
    <w:bookmarkEnd w:id="26"/>
    <w:bookmarkStart w:id="27" w:name="adverse-events"/>
    <w:p>
      <w:pPr>
        <w:pStyle w:val="Heading3"/>
      </w:pPr>
      <w:r>
        <w:t xml:space="preserve">4.2 Adverse Events</w:t>
      </w:r>
    </w:p>
    <w:p>
      <w:pPr>
        <w:pStyle w:val="FirstParagraph"/>
      </w:pPr>
      <w:r>
        <w:t xml:space="preserve">Mild gastrointestinal disturbances were reported by 8% of participants in the treatment group, with no serious adverse events recorded. This safety profile supports further investigation into long-term use for preventive care.</w:t>
      </w:r>
    </w:p>
    <w:bookmarkEnd w:id="27"/>
    <w:bookmarkEnd w:id="28"/>
    <w:bookmarkStart w:id="29"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r>
        <w:t xml:space="preserve">underscore the complex interplay between environmental factors and human health in dense urban settings like</w:t>
      </w:r>
      <w:r>
        <w:t xml:space="preserve"> </w:t>
      </w:r>
      <w:r>
        <w:rPr>
          <w:bCs/>
          <w:b/>
        </w:rPr>
        <w:t xml:space="preserve">Germany Frankfurt</w:t>
      </w:r>
      <w:r>
        <w:t xml:space="preserve">. The significant reduction in inflammatory markers among treated subjects suggests that pharmacological intervention can partially counteract the physiological stress imposed by urban pollution.</w:t>
      </w:r>
    </w:p>
    <w:p>
      <w:pPr>
        <w:pStyle w:val="BodyText"/>
      </w:pPr>
      <w:r>
        <w:t xml:space="preserve">However, it is crucial to emphasize that medication should not replace public health measures aimed at reducing pollution. As a</w:t>
      </w:r>
      <w:r>
        <w:t xml:space="preserve"> </w:t>
      </w:r>
      <w:r>
        <w:rPr>
          <w:bCs/>
          <w:b/>
        </w:rPr>
        <w:t xml:space="preserve">Medical Researcher</w:t>
      </w:r>
      <w:r>
        <w:t xml:space="preserve">, I argue for a multi-faceted approach where city planners in</w:t>
      </w:r>
      <w:r>
        <w:t xml:space="preserve"> </w:t>
      </w:r>
      <w:r>
        <w:rPr>
          <w:bCs/>
          <w:b/>
        </w:rPr>
        <w:t xml:space="preserve">Germany Frankfurt</w:t>
      </w:r>
    </w:p>
    <w:bookmarkEnd w:id="29"/>
    <w:bookmarkStart w:id="30" w:name="conclusion-and-recommendations"/>
    <w:p>
      <w:pPr>
        <w:pStyle w:val="Heading2"/>
      </w:pPr>
      <w:r>
        <w:t xml:space="preserve">6. Conclusion and Recommendations</w:t>
      </w:r>
    </w:p>
    <w:p>
      <w:pPr>
        <w:pStyle w:val="FirstParagraph"/>
      </w:pPr>
      <w:r>
        <w:t xml:space="preserve">In conclusion, this study provides compelling evidence that targeted anti-inflammatory therapy can mitigate the health impacts of urban pollution in</w:t>
      </w:r>
      <w:r>
        <w:t xml:space="preserve"> </w:t>
      </w:r>
      <w:r>
        <w:rPr>
          <w:bCs/>
          <w:b/>
        </w:rPr>
        <w:t xml:space="preserve">Germany Frankfurt</w:t>
      </w:r>
      <w:r>
        <w:t xml:space="preserve">. The data supports the expansion of Phase II clinical trials to include a larger cohort and longer duration.</w:t>
      </w:r>
    </w:p>
    <w:p>
      <w:pPr>
        <w:pStyle w:val="BodyText"/>
      </w:pPr>
      <w:r>
        <w:rPr>
          <w:bCs/>
          <w:b/>
        </w:rPr>
        <w:t xml:space="preserve">Recommendations for Future Research:</w:t>
      </w:r>
    </w:p>
    <w:p>
      <w:pPr>
        <w:numPr>
          <w:ilvl w:val="0"/>
          <w:numId w:val="1001"/>
        </w:numPr>
        <w:pStyle w:val="Compact"/>
      </w:pPr>
      <w:r>
        <w:rPr>
          <w:bCs/>
          <w:b/>
        </w:rPr>
        <w:t xml:space="preserve">Economic Analysis:</w:t>
      </w:r>
    </w:p>
    <w:p>
      <w:pPr>
        <w:numPr>
          <w:ilvl w:val="0"/>
          <w:numId w:val="1001"/>
        </w:numPr>
        <w:pStyle w:val="Compact"/>
      </w:pPr>
      <w:r>
        <w:rPr>
          <w:bCs/>
          <w:b/>
        </w:rPr>
        <w:t xml:space="preserve">Pollution Mitigation Integration:</w:t>
      </w:r>
      <w:r>
        <w:t xml:space="preserve">Germany Frankfurt</w:t>
      </w:r>
    </w:p>
    <w:p>
      <w:pPr>
        <w:numPr>
          <w:ilvl w:val="0"/>
          <w:numId w:val="1001"/>
        </w:numPr>
        <w:pStyle w:val="Compact"/>
      </w:pPr>
      <w:r>
        <w:rPr>
          <w:bCs/>
          <w:b/>
        </w:rPr>
        <w:t xml:space="preserve">Longitudinal Follow-up:</w:t>
      </w:r>
    </w:p>
    <w:p>
      <w:pPr>
        <w:pStyle w:val="FirstParagraph"/>
      </w:pPr>
      <w:r>
        <w:t xml:space="preserve">This</w:t>
      </w:r>
      <w:r>
        <w:t xml:space="preserve"> </w:t>
      </w:r>
      <w:r>
        <w:rPr>
          <w:bCs/>
          <w:b/>
        </w:rPr>
        <w:t xml:space="preserve">Laboratory Report</w:t>
      </w:r>
      <w:r>
        <w:t xml:space="preserve"> </w:t>
      </w:r>
      <w:r>
        <w:t xml:space="preserve">serves as a foundational document for ongoing research efforts by the lead</w:t>
      </w:r>
      <w:r>
        <w:t xml:space="preserve"> </w:t>
      </w:r>
      <w:r>
        <w:rPr>
          <w:bCs/>
          <w:b/>
        </w:rPr>
        <w:t xml:space="preserve">Medical ResearcherGermany Frankfurt</w:t>
      </w:r>
      <w:r>
        <w:t xml:space="preserve"> </w:t>
      </w:r>
      <w:r>
        <w:t xml:space="preserve">and similar cities worldwide.</w:t>
      </w:r>
    </w:p>
    <w:p>
      <w:pPr>
        <w:pStyle w:val="BodyText"/>
      </w:pPr>
      <w:r>
        <w:rPr>
          <w:iCs/>
          <w:i/>
        </w:rPr>
        <w:t xml:space="preserve">Signed,</w:t>
      </w:r>
    </w:p>
    <w:p>
      <w:pPr>
        <w:pStyle w:val="BodyText"/>
      </w:pPr>
      <w:r>
        <w:t xml:space="preserve">Sr. Dr. Elena Weber</w:t>
      </w:r>
      <w:r>
        <w:br/>
      </w:r>
      <w:r>
        <w:t xml:space="preserve">Lead Medical Researcher</w:t>
      </w:r>
      <w:r>
        <w:br/>
      </w:r>
      <w:r>
        <w:t xml:space="preserve">Institute for Translational Medicine,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Medical Research Initiatives in Germany Frankfurt</dc:title>
  <dc:creator/>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file>