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8" w:name="X4f5cd8e0de8f5f4662d953cef2a04f93216ca16"/>
    <w:p>
      <w:pPr>
        <w:pStyle w:val="Heading1"/>
      </w:pPr>
      <w:r>
        <w:t xml:space="preserve">Laboratory Report: Medical Researcher Analysis in Germany Munich</w:t>
      </w:r>
    </w:p>
    <w:bookmarkStart w:id="20" w:name="purpose-of-the-investigation"/>
    <w:p>
      <w:pPr>
        <w:pStyle w:val="Heading2"/>
      </w:pPr>
      <w:r>
        <w:t xml:space="preserve">Purpose of the Investigation</w:t>
      </w:r>
    </w:p>
    <w:p>
      <w:pPr>
        <w:pStyle w:val="FirstParagraph"/>
      </w:pPr>
      <w:r>
        <w:t xml:space="preserve">The primary objective of this Laboratory Report is to evaluate the professional landscape, regulatory environment, and collaborative opportunities for a</w:t>
      </w:r>
      <w:r>
        <w:t xml:space="preserve"> </w:t>
      </w:r>
      <w:r>
        <w:rPr>
          <w:bCs/>
          <w:b/>
        </w:rPr>
        <w:t xml:space="preserve">Medical Researcher</w:t>
      </w:r>
      <w:r>
        <w:t xml:space="preserve"> </w:t>
      </w:r>
      <w:r>
        <w:t xml:space="preserve">operating within the dynamic scientific hub of</w:t>
      </w:r>
      <w:r>
        <w:t xml:space="preserve"> </w:t>
      </w:r>
      <w:r>
        <w:rPr>
          <w:bCs/>
          <w:b/>
        </w:rPr>
        <w:t xml:space="preserve">Germany Munich</w:t>
      </w:r>
      <w:r>
        <w:t xml:space="preserve">. As Munich continues to establish itself as one of Europe's leading centers for biotechnology and medical innovation, understanding its specific ecosystem is crucial. This document outlines the critical factors that influence medical research activities in this region, ensuring compliance with local standards while fostering breakthrough advancements.</w:t>
      </w:r>
    </w:p>
    <w:bookmarkEnd w:id="20"/>
    <w:bookmarkStart w:id="21" w:name="geographical-and-institutional-context"/>
    <w:p>
      <w:pPr>
        <w:pStyle w:val="Heading2"/>
      </w:pPr>
      <w:r>
        <w:t xml:space="preserve">Geographical and Institutional Context</w:t>
      </w:r>
    </w:p>
    <w:p>
      <w:pPr>
        <w:pStyle w:val="FirstParagraph"/>
      </w:pPr>
      <w:r>
        <w:t xml:space="preserve">Munich stands as a premier destination for scientific inquiry in</w:t>
      </w:r>
      <w:r>
        <w:t xml:space="preserve"> </w:t>
      </w:r>
      <w:r>
        <w:rPr>
          <w:bCs/>
          <w:b/>
        </w:rPr>
        <w:t xml:space="preserve">Germany Munich</w:t>
      </w:r>
      <w:r>
        <w:t xml:space="preserve">, boasting proximity to world-renowned institutions such as the Ludwig Maximilian University of Munich (LMU) and the Technical University of Munich (TUM). For any</w:t>
      </w:r>
      <w:r>
        <w:t xml:space="preserve"> </w:t>
      </w:r>
      <w:r>
        <w:rPr>
          <w:bCs/>
          <w:b/>
        </w:rPr>
        <w:t xml:space="preserve">Medical Researcher</w:t>
      </w:r>
      <w:r>
        <w:t xml:space="preserve">, these partnerships are vital. The city's robust infrastructure supports large-scale clinical trials, genomic sequencing facilities, and pharmaceutical development labs. Furthermore, the presence of major corporations like Siemens Healthineers creates a fertile ground for translational medicine—bridging the gap between laboratory discoveries and clinical applications.</w:t>
      </w:r>
    </w:p>
    <w:bookmarkEnd w:id="21"/>
    <w:bookmarkStart w:id="22" w:name="Xfd6c0bd97f3326077207f184e0151b9cadf8202"/>
    <w:p>
      <w:pPr>
        <w:pStyle w:val="Heading2"/>
      </w:pPr>
      <w:r>
        <w:t xml:space="preserve">Regulatory Compliance and Ethical Standards</w:t>
      </w:r>
    </w:p>
    <w:p>
      <w:pPr>
        <w:pStyle w:val="FirstParagraph"/>
      </w:pPr>
      <w:r>
        <w:t xml:space="preserve">In</w:t>
      </w:r>
      <w:r>
        <w:t xml:space="preserve"> </w:t>
      </w:r>
      <w:r>
        <w:rPr>
          <w:bCs/>
          <w:b/>
        </w:rPr>
        <w:t xml:space="preserve">Germany Munich</w:t>
      </w:r>
      <w:r>
        <w:t xml:space="preserve">, medical research is governed by stringent regulatory frameworks. Any</w:t>
      </w:r>
      <w:r>
        <w:t xml:space="preserve"> </w:t>
      </w:r>
      <w:r>
        <w:rPr>
          <w:bCs/>
          <w:b/>
        </w:rPr>
        <w:t xml:space="preserve">Medical Researcher</w:t>
      </w:r>
      <w:r>
        <w:t xml:space="preserve"> </w:t>
      </w:r>
      <w:r>
        <w:t xml:space="preserve">must navigate the complex requirements set forth by the German Medicines Act (Arzneimittelgesetz) and comply with Good Clinical Practice (GCP) guidelines. Additionally, adherence to ethical standards mandated by local ethics committees is non-negotiable.</w:t>
      </w:r>
      <w:r>
        <w:br/>
      </w:r>
      <w:r>
        <w:br/>
      </w:r>
      <w:r>
        <w:t xml:space="preserve">All studies involving human subjects or animal testing must undergo rigorous review processes. Researchers are expected to demonstrate strict compliance with data privacy laws, particularly the General Data Protection Regulation (GDPR), which holds significant weight in</w:t>
      </w:r>
      <w:r>
        <w:t xml:space="preserve"> </w:t>
      </w:r>
      <w:r>
        <w:rPr>
          <w:bCs/>
          <w:b/>
        </w:rPr>
        <w:t xml:space="preserve">Germany Munich</w:t>
      </w:r>
      <w:r>
        <w:t xml:space="preserve">. This ensures that patient confidentiality remains paramount throughout the research lifecycle.</w:t>
      </w:r>
    </w:p>
    <w:bookmarkEnd w:id="22"/>
    <w:bookmarkStart w:id="23" w:name="laboratory-infrastructure-and-resources"/>
    <w:p>
      <w:pPr>
        <w:pStyle w:val="Heading2"/>
      </w:pPr>
      <w:r>
        <w:t xml:space="preserve">Laboratory Infrastructure and Resources</w:t>
      </w:r>
    </w:p>
    <w:p>
      <w:pPr>
        <w:pStyle w:val="FirstParagraph"/>
      </w:pPr>
      <w:r>
        <w:t xml:space="preserve">A comprehensive assessment of available resources reveals that laboratories in</w:t>
      </w:r>
      <w:r>
        <w:t xml:space="preserve"> </w:t>
      </w:r>
      <w:r>
        <w:rPr>
          <w:bCs/>
          <w:b/>
        </w:rPr>
        <w:t xml:space="preserve">Germany Munich</w:t>
      </w:r>
      <w:r>
        <w:t xml:space="preserve"> </w:t>
      </w:r>
      <w:r>
        <w:t xml:space="preserve">are equipped with state-of-the-art technology. From advanced imaging systems to high-throughput screening platforms, facilities support diverse methodologies essential for modern medicine. For a</w:t>
      </w:r>
      <w:r>
        <w:t xml:space="preserve"> </w:t>
      </w:r>
      <w:r>
        <w:rPr>
          <w:bCs/>
          <w:b/>
        </w:rPr>
        <w:t xml:space="preserve">Medical Researcher</w:t>
      </w:r>
      <w:r>
        <w:t xml:space="preserve">, access to these tools is critical for generating reproducible and high-impact data.</w:t>
      </w:r>
      <w:r>
        <w:br/>
      </w:r>
      <w:r>
        <w:br/>
      </w:r>
      <w:r>
        <w:t xml:space="preserve">The table below summarizes key infrastructure components available across major research centers in the region:</w:t>
      </w:r>
    </w:p>
    <w:bookmarkEnd w:id="23"/>
    <w:p>
      <w:pPr>
        <w:pStyle w:val="BodyText"/>
      </w:pPr>
      <w:r>
        <w:t xml:space="preserve">Category</w:t>
      </w:r>
    </w:p>
    <w:p>
      <w:pPr>
        <w:pStyle w:val="BodyText"/>
      </w:pPr>
      <w:r>
        <w:t xml:space="preserve">Description</w:t>
      </w:r>
    </w:p>
    <w:p>
      <w:pPr>
        <w:pStyle w:val="BodyText"/>
      </w:pPr>
      <w:r>
        <w:t xml:space="preserve">Biotechnology Facilities</w:t>
      </w:r>
    </w:p>
    <w:p>
      <w:pPr>
        <w:pStyle w:val="BodyText"/>
      </w:pPr>
      <w:r>
        <w:t xml:space="preserve">Cutting-edge labs for CRISPR, gene therapy, and cellular engineering. &lt; tr &gt;</w:t>
      </w:r>
    </w:p>
    <w:p>
      <w:pPr>
        <w:pStyle w:val="BodyText"/>
      </w:pPr>
      <w:r>
        <w:t xml:space="preserve">Clinical Trial Support</w:t>
      </w:r>
    </w:p>
    <w:p>
      <w:pPr>
        <w:pStyle w:val="BodyText"/>
      </w:pPr>
      <w:r>
        <w:t xml:space="preserve">Dedicated units managing multi-center trials compliant with EU regulations.</w:t>
      </w:r>
    </w:p>
    <w:p>
      <w:pPr>
        <w:pStyle w:val="BodyText"/>
      </w:pPr>
      <w:r>
        <w:t xml:space="preserve">Regulatory Compliance</w:t>
      </w:r>
    </w:p>
    <w:bookmarkStart w:id="24" w:name="X22fea2a939f74f12990cc4aa914520ee9b2be1f"/>
    <w:p>
      <w:pPr>
        <w:pStyle w:val="Heading2"/>
      </w:pPr>
      <w:r>
        <w:t xml:space="preserve">Educational Requirements for Medical Researcher Roles in Germany Munich</w:t>
      </w:r>
    </w:p>
    <w:p>
      <w:pPr>
        <w:pStyle w:val="FirstParagraph"/>
      </w:pPr>
      <w:r>
        <w:t xml:space="preserve">To effectively contribute to the scientific community in</w:t>
      </w:r>
      <w:r>
        <w:t xml:space="preserve"> </w:t>
      </w:r>
      <w:r>
        <w:rPr>
          <w:bCs/>
          <w:b/>
        </w:rPr>
        <w:t xml:space="preserve">Germany Munich</w:t>
      </w:r>
      <w:r>
        <w:t xml:space="preserve">, a</w:t>
      </w:r>
      <w:r>
        <w:t xml:space="preserve"> </w:t>
      </w:r>
      <w:r>
        <w:rPr>
          <w:bCs/>
          <w:b/>
        </w:rPr>
        <w:t xml:space="preserve">Medical Researcher</w:t>
      </w:r>
      <w:r>
        <w:t xml:space="preserve"> </w:t>
      </w:r>
      <w:r>
        <w:t xml:space="preserve">typically requires an advanced degree, such as a Ph.D. or M.D., with specialization fields including immunology, oncology, or infectious diseases. Language proficiency is another key factor; while many research environments operate in English, knowledge of German facilitates integration and collaboration with local healthcare providers.</w:t>
      </w:r>
      <w:r>
        <w:br/>
      </w:r>
      <w:r>
        <w:br/>
      </w:r>
      <w:r>
        <w:t xml:space="preserve">Ongoing professional development is encouraged through workshops and seminars offered by regional associations like the Bavarian Academy of Sciences and Humanities.</w:t>
      </w:r>
    </w:p>
    <w:bookmarkEnd w:id="24"/>
    <w:bookmarkStart w:id="25" w:name="X6f914282087cef369dbf925ef22cfb1293af444"/>
    <w:p>
      <w:pPr>
        <w:pStyle w:val="Heading2"/>
      </w:pPr>
      <w:r>
        <w:t xml:space="preserve">Collaboration Opportunities in Germany Munich</w:t>
      </w:r>
    </w:p>
    <w:p>
      <w:pPr>
        <w:pStyle w:val="FirstParagraph"/>
      </w:pPr>
      <w:r>
        <w:t xml:space="preserve">One notable aspect highlighting why</w:t>
      </w:r>
      <w:r>
        <w:t xml:space="preserve"> </w:t>
      </w:r>
      <w:r>
        <w:rPr>
          <w:bCs/>
          <w:b/>
        </w:rPr>
        <w:t xml:space="preserve">Germany Munich</w:t>
      </w:r>
      <w:r>
        <w:t xml:space="preserve"> </w:t>
      </w:r>
      <w:r>
        <w:t xml:space="preserve">attracts top-tier talent is its collaborative culture. Public-private partnerships thrive here, enabling researchers to leverage academic insights alongside industry expertise. A</w:t>
      </w:r>
      <w:r>
        <w:t xml:space="preserve"> </w:t>
      </w:r>
      <w:r>
        <w:rPr>
          <w:bCs/>
          <w:b/>
        </w:rPr>
        <w:t xml:space="preserve">Medical Researcher</w:t>
      </w:r>
      <w:r>
        <w:t xml:space="preserve"> </w:t>
      </w:r>
      <w:r>
        <w:t xml:space="preserve">working in this ecosystem benefits from cross-disciplinary teamwork involving engineers, statisticians, and clinicians.</w:t>
      </w:r>
      <w:r>
        <w:br/>
      </w:r>
      <w:r>
        <w:br/>
      </w:r>
      <w:r>
        <w:t xml:space="preserve">The following table highlights some prominent collaboration models:</w:t>
      </w:r>
    </w:p>
    <w:bookmarkEnd w:id="25"/>
    <w:p>
      <w:pPr>
        <w:pStyle w:val="BodyText"/>
      </w:pPr>
      <w:r>
        <w:t xml:space="preserve">Institution Name</w:t>
      </w:r>
    </w:p>
    <w:p>
      <w:pPr>
        <w:pStyle w:val="BodyText"/>
      </w:pPr>
      <w:r>
        <w:t xml:space="preserve">Munich Institute of Technology (TUM)</w:t>
      </w:r>
    </w:p>
    <w:p>
      <w:pPr>
        <w:pStyle w:val="BodyText"/>
      </w:pPr>
      <w:r>
        <w:t xml:space="preserve">&lt; tr &gt;</w:t>
      </w:r>
    </w:p>
    <w:p>
      <w:pPr>
        <w:pStyle w:val="BodyText"/>
      </w:pPr>
      <w:r>
        <w:t xml:space="preserve">Max Planck Society/tbody&gt;</w:t>
      </w:r>
      <w:r>
        <w:br/>
      </w:r>
      <w:r>
        <w:t xml:space="preserve">The interconnectedness among these organizations ensures that innovations developed by a</w:t>
      </w:r>
      <w:r>
        <w:t xml:space="preserve"> </w:t>
      </w:r>
      <w:r>
        <w:rPr>
          <w:bCs/>
          <w:b/>
        </w:rPr>
        <w:t xml:space="preserve">Medical Researcher</w:t>
      </w:r>
      <w:r>
        <w:t xml:space="preserve"> </w:t>
      </w:r>
      <w:r>
        <w:t xml:space="preserve">can rapidly transition into practical solutions benefiting patients.</w:t>
      </w:r>
    </w:p>
    <w:bookmarkStart w:id="26" w:name="Xd07d00bbc9db2700267cf514ca6921814c00fc5"/>
    <w:p>
      <w:pPr>
        <w:pStyle w:val="Heading2"/>
      </w:pPr>
      <w:r>
        <w:t xml:space="preserve">Promoting Diversity and Inclusion in Medical Research Germany Munich</w:t>
      </w:r>
    </w:p>
    <w:p>
      <w:pPr>
        <w:pStyle w:val="FirstParagraph"/>
      </w:pPr>
      <w:r>
        <w:t xml:space="preserve">Diversity plays a pivotal role in shaping inclusive medical practices. In</w:t>
      </w:r>
      <w:r>
        <w:t xml:space="preserve"> </w:t>
      </w:r>
      <w:r>
        <w:rPr>
          <w:bCs/>
          <w:b/>
        </w:rPr>
        <w:t xml:space="preserve">Germany Munich</w:t>
      </w:r>
      <w:r>
        <w:t xml:space="preserve">, efforts are underway to recruit underrepresented groups within the field of science. By fostering diverse teams, projects led by a</w:t>
      </w:r>
      <w:r>
        <w:t xml:space="preserve"> </w:t>
      </w:r>
      <w:r>
        <w:rPr>
          <w:bCs/>
          <w:b/>
        </w:rPr>
        <w:t xml:space="preserve">Medical Researcher</w:t>
      </w:r>
      <w:r>
        <w:t xml:space="preserve"> </w:t>
      </w:r>
      <w:r>
        <w:t xml:space="preserve">become more robust, addressing varied perspectives and needs.</w:t>
      </w:r>
      <w:r>
        <w:br/>
      </w:r>
      <w:r>
        <w:br/>
      </w:r>
      <w:r>
        <w:t xml:space="preserve">This commitment extends beyond demographics—it encompasses interdisciplinary approaches where traditional boundaries between biology, chemistry, computer science dissolve.</w:t>
      </w:r>
    </w:p>
    <w:bookmarkEnd w:id="26"/>
    <w:bookmarkStart w:id="27" w:name="Xe95370155ca49a726bf3fd7ebbdd29011bca73a"/>
    <w:p>
      <w:pPr>
        <w:pStyle w:val="Heading2"/>
      </w:pPr>
      <w:r>
        <w:t xml:space="preserve">Sustainability Initiatives in Laboratory Settings</w:t>
      </w:r>
    </w:p>
    <w:p>
      <w:pPr>
        <w:pStyle w:val="FirstParagraph"/>
      </w:pPr>
      <w:r>
        <w:t xml:space="preserve">The environmental impact of conducting experiments cannot be overlooked. Labs operating in</w:t>
      </w:r>
      <w:r>
        <w:t xml:space="preserve"> </w:t>
      </w:r>
      <w:r>
        <w:rPr>
          <w:bCs/>
          <w:b/>
        </w:rPr>
        <w:t xml:space="preserve">Germany Munich</w:t>
      </w:r>
      <w:r>
        <w:t xml:space="preserve"> </w:t>
      </w:r>
      <w:r>
        <w:t xml:space="preserve">are increasingly adopting sustainable practices aimed at reducing waste and energy consumption. These initiatives align with broader goals promoted by both federal authorities and local municipalities.</w:t>
      </w:r>
      <w:r>
        <w:br/>
      </w:r>
      <w:r>
        <w:br/>
      </w:r>
      <w:r>
        <w:t xml:space="preserve">A</w:t>
      </w:r>
      <w:r>
        <w:t xml:space="preserve"> </w:t>
      </w:r>
      <w:r>
        <w:rPr>
          <w:bCs/>
          <w:b/>
        </w:rPr>
        <w:t xml:space="preserve">Medical Researcher</w:t>
      </w:r>
      <w:r>
        <w:t xml:space="preserve"> </w:t>
      </w:r>
      <w:r>
        <w:t xml:space="preserve">plays a crucial role in implementing green protocols, ensuring that their work contributes positively to planetary health alongside advancing human wellbeing.</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 in Germany Munich</dc:title>
  <dc:creator/>
  <dc:language>en</dc:language>
  <cp:keywords/>
  <dcterms:created xsi:type="dcterms:W3CDTF">2026-07-29T14:05:12Z</dcterms:created>
  <dcterms:modified xsi:type="dcterms:W3CDTF">2026-07-29T14:05:12Z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