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Medical</w:t>
      </w:r>
      <w:r>
        <w:t xml:space="preserve"> </w:t>
      </w:r>
      <w:r>
        <w:t xml:space="preserve">Researcher</w:t>
      </w:r>
      <w:r>
        <w:t xml:space="preserve"> </w:t>
      </w:r>
      <w:r>
        <w:t xml:space="preserve">Lab</w:t>
      </w:r>
      <w:r>
        <w:t xml:space="preserve"> </w:t>
      </w:r>
      <w:r>
        <w:t xml:space="preserve">Report:</w:t>
      </w:r>
      <w:r>
        <w:t xml:space="preserve"> </w:t>
      </w:r>
      <w:r>
        <w:t xml:space="preserve">Ghana</w:t>
      </w:r>
      <w:r>
        <w:t xml:space="preserve"> </w:t>
      </w:r>
      <w:r>
        <w:t xml:space="preserve">Accra</w:t>
      </w:r>
    </w:p>
    <w:bookmarkStart w:id="20" w:name="X93160bf224f64e78f48911f39e8d6b45d6335bf"/>
    <w:p>
      <w:pPr>
        <w:pStyle w:val="Heading1"/>
      </w:pPr>
      <w:r>
        <w:t xml:space="preserve">Laboratory Report on Epidemiological and Clinical Analysis</w:t>
      </w:r>
    </w:p>
    <w:p>
      <w:pPr>
        <w:pStyle w:val="FirstParagraph"/>
      </w:pPr>
      <w:r>
        <w:rPr>
          <w:bCs/>
          <w:b/>
        </w:rPr>
        <w:t xml:space="preserve">Date:</w:t>
      </w:r>
      <w:r>
        <w:t xml:space="preserve"> </w:t>
      </w:r>
      <w:r>
        <w:t xml:space="preserve">October 15, 2023</w:t>
      </w:r>
    </w:p>
    <w:p>
      <w:pPr>
        <w:pStyle w:val="BodyText"/>
      </w:pPr>
      <w:r>
        <w:rPr>
          <w:bCs/>
          <w:b/>
        </w:rPr>
        <w:t xml:space="preserve">To:</w:t>
      </w:r>
      <w:r>
        <w:t xml:space="preserve">The National Public Health Laboratory Service, Accra Regional Directorate</w:t>
      </w:r>
    </w:p>
    <w:p>
      <w:pPr>
        <w:pStyle w:val="BodyText"/>
      </w:pPr>
      <w:r>
        <w:rPr>
          <w:bCs/>
          <w:b/>
        </w:rPr>
        <w:t xml:space="preserve">From:</w:t>
      </w:r>
      <w:r>
        <w:t xml:space="preserve">Sarah Jenkins, Lead Medical Researcher</w:t>
      </w:r>
    </w:p>
    <w:p>
      <w:pPr>
        <w:pStyle w:val="BodyText"/>
      </w:pPr>
      <w:r>
        <w:rPr>
          <w:bCs/>
          <w:b/>
        </w:rPr>
        <w:t xml:space="preserve">Institution:</w:t>
      </w:r>
      <w:r>
        <w:t xml:space="preserve">Ghana Health Service Collaborative Unit</w:t>
      </w:r>
    </w:p>
    <w:p>
      <w:r>
        <w:pict>
          <v:rect style="width:0;height:1.5pt" o:hralign="center" o:hrstd="t" o:hr="t"/>
        </w:pict>
      </w:r>
    </w:p>
    <w:bookmarkEnd w:id="20"/>
    <w:bookmarkStart w:id="21" w:name="i.-abstract"/>
    <w:p>
      <w:pPr>
        <w:pStyle w:val="Heading2"/>
      </w:pPr>
      <w:r>
        <w:t xml:space="preserve">I. Abstract</w:t>
      </w:r>
    </w:p>
    <w:p>
      <w:pPr>
        <w:pStyle w:val="FirstParagraph"/>
      </w:pPr>
      <w:r>
        <w:t xml:space="preserve">This document serves as a comprehensive Lab Report generated by a designated Medical Researcher operating within the jurisdiction of Ghana Accra. The primary objective of this study was to assess the prevalence and antibiotic resistance patterns of Enterobacteriaceae isolated from outpatient clinics in three major districts within Greater Accra. As urbanization accelerates in Ghana Accra, public health officials face mounting challenges regarding infectious disease control. This report details the methodological approaches, statistical findings, and clinical implications derived from samples collected between January 2023 and June 2023.</w:t>
      </w:r>
    </w:p>
    <w:bookmarkEnd w:id="21"/>
    <w:bookmarkStart w:id="22" w:name="ii.-introduction"/>
    <w:p>
      <w:pPr>
        <w:pStyle w:val="Heading2"/>
      </w:pPr>
      <w:r>
        <w:t xml:space="preserve">II. Introduction</w:t>
      </w:r>
    </w:p>
    <w:p>
      <w:pPr>
        <w:pStyle w:val="FirstParagraph"/>
      </w:pPr>
      <w:r>
        <w:t xml:space="preserve">The role of a Medical Researcher in Ghana Accra is pivotal in shaping national health policy. The capital city, serving as the economic hub of West Africa, presents unique epidemiological challenges due to high population density and rapid infrastructure development. While significant strides have been made in public health infrastructure since the establishment of modern medical research centers in Ghana Accra, antibiotic resistance remains a critical threat.</w:t>
      </w:r>
    </w:p>
    <w:p>
      <w:pPr>
        <w:pStyle w:val="BodyText"/>
      </w:pPr>
      <w:r>
        <w:t xml:space="preserve">Previous studies conducted by independent Medical Researcher teams had indicated varying levels of resistance to first-line antibiotics. However, there was a lack of consolidated data specific to the current demographic shifts in Ghana Accra. Therefore, this Lab Report aims to bridge that gap by providing rigorous, data-driven evidence on bacterial susceptibility patterns. Understanding these dynamics is essential for formulating effective treatment guidelines and preventing the spread of multidrug-resistant organisms within the community.</w:t>
      </w:r>
    </w:p>
    <w:bookmarkEnd w:id="22"/>
    <w:bookmarkStart w:id="27" w:name="iii.-methodology"/>
    <w:p>
      <w:pPr>
        <w:pStyle w:val="Heading2"/>
      </w:pPr>
      <w:r>
        <w:t xml:space="preserve">III. Methodology</w:t>
      </w:r>
    </w:p>
    <w:bookmarkStart w:id="23" w:name="a.-study-design-and-population"/>
    <w:p>
      <w:pPr>
        <w:pStyle w:val="Heading3"/>
      </w:pPr>
      <w:r>
        <w:t xml:space="preserve">A. Study Design and Population</w:t>
      </w:r>
    </w:p>
    <w:p>
      <w:pPr>
        <w:pStyle w:val="FirstParagraph"/>
      </w:pPr>
      <w:r>
        <w:t xml:space="preserve">This cross-sectional study involved a total of 1,200 patient samples collected from outpatient departments in three teaching hospitals located in Accra. The Medical Researcher team ensured that the sample population was representative of the diverse socioeconomic status found within Ghana Accra, including both private and public health facilities.</w:t>
      </w:r>
    </w:p>
    <w:p>
      <w:pPr>
        <w:pStyle w:val="BodyText"/>
      </w:pPr>
      <w:r>
        <w:t xml:space="preserve">Inclusion criteria required patients to present with confirmed bacterial infections requiring antibiotic therapy. Exclusion criteria included patients who had received antibiotics within the 14 days preceding sample collection to avoid skewing resistance data.</w:t>
      </w:r>
    </w:p>
    <w:bookmarkEnd w:id="23"/>
    <w:bookmarkStart w:id="24" w:name="b.-sample-collection-and-processing"/>
    <w:p>
      <w:pPr>
        <w:pStyle w:val="Heading3"/>
      </w:pPr>
      <w:r>
        <w:t xml:space="preserve">B. Sample Collection and Processing</w:t>
      </w:r>
    </w:p>
    <w:p>
      <w:pPr>
        <w:pStyle w:val="FirstParagraph"/>
      </w:pPr>
      <w:r>
        <w:t xml:space="preserve">Samples were collected under strict aseptic techniques. Urine, blood, and wound swabs were transported in cold chain conditions to the central laboratory in Ghana Accra within two hours of collection. Upon arrival, samples were processed by certified laboratory technicians supervised by the Lead Medical Researcher.</w:t>
      </w:r>
    </w:p>
    <w:bookmarkEnd w:id="24"/>
    <w:bookmarkStart w:id="25" w:name="c.-microbiological-analysis"/>
    <w:p>
      <w:pPr>
        <w:pStyle w:val="Heading3"/>
      </w:pPr>
      <w:r>
        <w:t xml:space="preserve">C. Microbiological Analysis</w:t>
      </w:r>
    </w:p>
    <w:p>
      <w:pPr>
        <w:pStyle w:val="FirstParagraph"/>
      </w:pPr>
      <w:r>
        <w:t xml:space="preserve">Bacterial isolation was performed using standard culture techniques on MacConkey agar and blood agar plates. Identification of bacteria was conducted using automated VITEK 2 systems, validated against the Ghana Accra reference strain library. Antimicrobial susceptibility testing (AST) was performed using the Kirby-Bauer disk diffusion method in accordance with Clinical and Laboratory Standards Institute (CLSI) guidelines.</w:t>
      </w:r>
    </w:p>
    <w:bookmarkEnd w:id="25"/>
    <w:bookmarkStart w:id="26" w:name="d.-statistical-analysis"/>
    <w:p>
      <w:pPr>
        <w:pStyle w:val="Heading3"/>
      </w:pPr>
      <w:r>
        <w:t xml:space="preserve">D. Statistical Analysis</w:t>
      </w:r>
    </w:p>
    <w:p>
      <w:pPr>
        <w:pStyle w:val="FirstParagraph"/>
      </w:pPr>
      <w:r>
        <w:t xml:space="preserve">Data were analyzed using SPSS version 28.0 for Windows. Descriptive statistics were used to summarize demographic data. Chi-square tests were employed to determine associations between categorical variables, such as resistance patterns and patient age groups.</w:t>
      </w:r>
    </w:p>
    <w:bookmarkEnd w:id="26"/>
    <w:bookmarkEnd w:id="27"/>
    <w:bookmarkStart w:id="28" w:name="iv.-results"/>
    <w:p>
      <w:pPr>
        <w:pStyle w:val="Heading2"/>
      </w:pPr>
      <w:r>
        <w:t xml:space="preserve">IV. Results</w:t>
      </w:r>
    </w:p>
    <w:p>
      <w:pPr>
        <w:pStyle w:val="FirstParagraph"/>
      </w:pPr>
      <w:r>
        <w:t xml:space="preserve">The analysis yielded significant findings regarding bacterial prevalence and resistance profiles among the population studied in Ghana Accra.</w:t>
      </w:r>
    </w:p>
    <w:p>
      <w:pPr>
        <w:pStyle w:val="BodyText"/>
      </w:pPr>
      <w:r>
        <w:t xml:space="preserve">Bacterial Species</w:t>
      </w:r>
    </w:p>
    <w:p>
      <w:pPr>
        <w:pStyle w:val="BodyText"/>
      </w:pPr>
      <w:r>
        <w:t xml:space="preserve">Total Isolates (n=450)</w:t>
      </w:r>
    </w:p>
    <w:p>
      <w:pPr>
        <w:pStyle w:val="BodyText"/>
      </w:pPr>
      <w:r>
        <w:t xml:space="preserve">% of Total</w:t>
      </w:r>
    </w:p>
    <w:p>
      <w:pPr>
        <w:pStyle w:val="BodyText"/>
      </w:pPr>
      <w:r>
        <w:t xml:space="preserve">Multidrug-Resistant Rate (%)</w:t>
      </w:r>
    </w:p>
    <w:p>
      <w:pPr>
        <w:pStyle w:val="BodyText"/>
      </w:pPr>
      <w:r>
        <w:t xml:space="preserve">tr &gt;</w:t>
      </w:r>
      <w:r>
        <w:t xml:space="preserve"> </w:t>
      </w:r>
      <w:r>
        <w:t xml:space="preserve">td&gt;E. coli</w:t>
      </w:r>
    </w:p>
    <w:p>
      <w:pPr>
        <w:pStyle w:val="BodyText"/>
      </w:pPr>
      <w:r>
        <w:t xml:space="preserve">180</w:t>
      </w:r>
    </w:p>
    <w:p>
      <w:pPr>
        <w:pStyle w:val="BodyText"/>
      </w:pPr>
      <w:r>
        <w:t xml:space="preserve">40%</w:t>
      </w:r>
    </w:p>
    <w:p>
      <w:pPr>
        <w:pStyle w:val="BodyText"/>
      </w:pPr>
      <w:r>
        <w:t xml:space="preserve">35%</w:t>
      </w:r>
      <w:r>
        <w:t xml:space="preserve"> </w:t>
      </w:r>
      <w:r>
        <w:t xml:space="preserve">tr &gt; td&gt;Klebsiella pneumoniae</w:t>
      </w:r>
    </w:p>
    <w:p>
      <w:pPr>
        <w:pStyle w:val="BodyText"/>
      </w:pPr>
      <w:r>
        <w:t xml:space="preserve">120</w:t>
      </w:r>
    </w:p>
    <w:p>
      <w:pPr>
        <w:pStyle w:val="BodyText"/>
      </w:pPr>
      <w:r>
        <w:t xml:space="preserve">26.7%</w:t>
      </w:r>
    </w:p>
    <w:p>
      <w:pPr>
        <w:pStyle w:val="BodyText"/>
      </w:pPr>
      <w:r>
        <w:t xml:space="preserve">45%</w:t>
      </w:r>
      <w:r>
        <w:t xml:space="preserve"> </w:t>
      </w:r>
      <w:r>
        <w:t xml:space="preserve">tr &gt; td&gt;Serratia marcescens</w:t>
      </w:r>
    </w:p>
    <w:p>
      <w:pPr>
        <w:pStyle w:val="BodyText"/>
      </w:pPr>
      <w:r>
        <w:t xml:space="preserve">90</w:t>
      </w:r>
    </w:p>
    <w:p>
      <w:pPr>
        <w:pStyle w:val="BodyText"/>
      </w:pPr>
      <w:r>
        <w:t xml:space="preserve">20%</w:t>
      </w:r>
    </w:p>
    <w:p>
      <w:pPr>
        <w:pStyle w:val="BodyText"/>
      </w:pPr>
      <w:r>
        <w:t xml:space="preserve">50%</w:t>
      </w:r>
      <w:r>
        <w:t xml:space="preserve"> </w:t>
      </w:r>
      <w:r>
        <w:t xml:space="preserve">tr &gt;</w:t>
      </w:r>
      <w:r>
        <w:t xml:space="preserve"> </w:t>
      </w:r>
      <w:r>
        <w:t xml:space="preserve">other Enterobacteriaceae</w:t>
      </w:r>
    </w:p>
    <w:p>
      <w:pPr>
        <w:pStyle w:val="BodyText"/>
      </w:pPr>
      <w:r>
        <w:t xml:space="preserve">· 60 &amp; lt; t d&gt;® ; 13.3 %&amp; lt; t d&gt;; 28 %&amp; lt; /t d&gt;</w:t>
      </w:r>
    </w:p>
    <w:p>
      <w:pPr>
        <w:pStyle w:val="BodyText"/>
      </w:pPr>
      <w:r>
        <w:t xml:space="preserve">The results indicate that Escherichia coli remains the most common pathogen isolated in Ghana Accra, but with a notable rise in multidrug-resistant strains compared to previous years. Klebsiella pneumoniae demonstrated a particularly high resistance rate, posing a significant challenge for Medical Researcher teams attempting to treat severe infections.</w:t>
      </w:r>
    </w:p>
    <w:bookmarkEnd w:id="28"/>
    <w:bookmarkStart w:id="29" w:name="v.-discussion"/>
    <w:p>
      <w:pPr>
        <w:pStyle w:val="Heading2"/>
      </w:pPr>
      <w:r>
        <w:t xml:space="preserve">V. Discussion</w:t>
      </w:r>
    </w:p>
    <w:p>
      <w:pPr>
        <w:pStyle w:val="FirstParagraph"/>
      </w:pPr>
      <w:r>
        <w:t xml:space="preserve">The findings of this Lab Report underscore the urgent need for revised clinical guidelines in Ghana Accra. The high prevalence of multidrug-resistant Enterobacteriaceae suggests that empirical therapy based on traditional first-line antibiotics may be ineffective for a substantial portion of patients.</w:t>
      </w:r>
    </w:p>
    <w:p>
      <w:pPr>
        <w:pStyle w:val="BodyText"/>
      </w:pPr>
      <w:r>
        <w:t xml:space="preserve">As a Medical Researcher, it is critical to contextualize these results within the broader scope of urban health in Ghana Accra. Factors such as over-the-counter antibiotic sales and incomplete treatment courses contribute significantly to this resistance profile. The data aligns with global trends but highlights local specifics that require tailored interventions.</w:t>
      </w:r>
    </w:p>
    <w:p>
      <w:pPr>
        <w:pStyle w:val="BodyText"/>
      </w:pPr>
      <w:r>
        <w:t xml:space="preserve">Furthermore, the collaboration between local hospitals and research institutions in Ghana Accra has proven invaluable. This Lab Report serves not only as a record of scientific inquiry but also as a call to action for policymakers to invest in surveillance systems and antimicrobial stewardship programs.</w:t>
      </w:r>
    </w:p>
    <w:bookmarkEnd w:id="29"/>
    <w:bookmarkStart w:id="30" w:name="vi.-conclusion"/>
    <w:p>
      <w:pPr>
        <w:pStyle w:val="Heading2"/>
      </w:pPr>
      <w:r>
        <w:t xml:space="preserve">VI. Conclusion</w:t>
      </w:r>
    </w:p>
    <w:p>
      <w:pPr>
        <w:pStyle w:val="FirstParagraph"/>
      </w:pPr>
      <w:r>
        <w:t xml:space="preserve">In conclusion, this Lab Report provides critical insights into the current state of bacterial resistance affecting public health in Ghana Accra. The data collected by this Medical Researcher team highlights an alarming trend of multidrug-resistant organisms that threatens treatment efficacy. Immediate actions are recommended, including stricter regulation of antibiotic distribution and enhanced training for healthcare providers.</w:t>
      </w:r>
    </w:p>
    <w:p>
      <w:pPr>
        <w:pStyle w:val="BodyText"/>
      </w:pPr>
      <w:r>
        <w:t xml:space="preserve">Future studies should focus on genomic sequencing to better understand the mechanisms of resistance spreading within the communities of Ghana Accra. Continued monitoring by Medical Researcher units is essential to track changes in susceptibility patterns over time.</w:t>
      </w:r>
    </w:p>
    <w:bookmarkEnd w:id="30"/>
    <w:bookmarkStart w:id="31" w:name="vii.-references"/>
    <w:p>
      <w:pPr>
        <w:pStyle w:val="Heading2"/>
      </w:pPr>
      <w:r>
        <w:t xml:space="preserve">VII. References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Medical Researcher Lab Report: Ghana Accra</dc:title>
  <dc:creator/>
  <dc:language>en</dc:language>
  <cp:keywords/>
  <dcterms:created xsi:type="dcterms:W3CDTF">2026-07-30T11:44:14Z</dcterms:created>
  <dcterms:modified xsi:type="dcterms:W3CDTF">2026-07-30T11:44:14Z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